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B04B" w14:textId="6C136E26" w:rsidR="00E71619" w:rsidRPr="001E1A0D" w:rsidRDefault="00E71619" w:rsidP="00A82D0E">
      <w:pPr>
        <w:spacing w:after="200" w:line="276" w:lineRule="auto"/>
        <w:jc w:val="center"/>
        <w:rPr>
          <w:rFonts w:ascii="Arial" w:eastAsia="Calibri" w:hAnsi="Arial" w:cs="Arial"/>
          <w:b/>
          <w:bCs/>
          <w:color w:val="0B5294"/>
          <w:sz w:val="56"/>
          <w:szCs w:val="56"/>
          <w:lang w:eastAsia="en-US"/>
        </w:rPr>
      </w:pPr>
      <w:bookmarkStart w:id="0" w:name="_Toc97720345"/>
      <w:r w:rsidRPr="001E1A0D">
        <w:rPr>
          <w:rFonts w:ascii="Calibri" w:eastAsia="Calibri" w:hAnsi="Calibri" w:cs="Arial"/>
          <w:b/>
          <w:caps/>
          <w:noProof/>
          <w:color w:val="54A738"/>
          <w:sz w:val="60"/>
          <w:szCs w:val="60"/>
        </w:rPr>
        <w:drawing>
          <wp:anchor distT="0" distB="0" distL="114300" distR="114300" simplePos="0" relativeHeight="251658240" behindDoc="1" locked="0" layoutInCell="1" allowOverlap="1" wp14:anchorId="26F608EB" wp14:editId="47C0EB93">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r w:rsidRPr="001E1A0D">
        <w:rPr>
          <w:rFonts w:ascii="Arial" w:eastAsia="Calibri" w:hAnsi="Arial" w:cs="Arial"/>
          <w:b/>
          <w:bCs/>
          <w:color w:val="0B5294"/>
          <w:sz w:val="56"/>
          <w:szCs w:val="56"/>
          <w:lang w:eastAsia="en-US"/>
        </w:rPr>
        <w:t>INTEGROVANÝ REGIONÁLNÍ OPERAČNÍ PROGRAM</w:t>
      </w:r>
    </w:p>
    <w:p w14:paraId="7599F267" w14:textId="77777777" w:rsidR="00E71619" w:rsidRPr="001E1A0D" w:rsidRDefault="00E71619" w:rsidP="00E71619">
      <w:pPr>
        <w:spacing w:before="120" w:after="120"/>
        <w:jc w:val="center"/>
        <w:rPr>
          <w:rFonts w:ascii="Arial" w:eastAsia="Calibri" w:hAnsi="Arial" w:cs="Arial"/>
          <w:b/>
          <w:bCs/>
          <w:color w:val="0B5294"/>
          <w:sz w:val="48"/>
          <w:szCs w:val="48"/>
          <w:lang w:eastAsia="en-US"/>
        </w:rPr>
      </w:pPr>
      <w:r w:rsidRPr="001E1A0D">
        <w:rPr>
          <w:rFonts w:ascii="Arial" w:eastAsia="Calibri" w:hAnsi="Arial" w:cs="Arial"/>
          <w:b/>
          <w:bCs/>
          <w:color w:val="0B5294"/>
          <w:sz w:val="48"/>
          <w:szCs w:val="48"/>
          <w:lang w:eastAsia="en-US"/>
        </w:rPr>
        <w:t>2021</w:t>
      </w:r>
      <w:r w:rsidRPr="001E1A0D">
        <w:rPr>
          <w:rFonts w:ascii="Arial" w:eastAsia="SimSun" w:hAnsi="Arial" w:cs="Arial"/>
          <w:b/>
          <w:bCs/>
          <w:color w:val="2F5496"/>
          <w:sz w:val="48"/>
          <w:szCs w:val="48"/>
          <w:lang w:eastAsia="zh-CN"/>
        </w:rPr>
        <w:t>–</w:t>
      </w:r>
      <w:r w:rsidRPr="001E1A0D">
        <w:rPr>
          <w:rFonts w:ascii="Arial" w:eastAsia="Calibri" w:hAnsi="Arial" w:cs="Arial"/>
          <w:b/>
          <w:bCs/>
          <w:color w:val="0B5294"/>
          <w:sz w:val="48"/>
          <w:szCs w:val="48"/>
          <w:lang w:eastAsia="en-US"/>
        </w:rPr>
        <w:t>2027</w:t>
      </w:r>
    </w:p>
    <w:p w14:paraId="2DF54C5C"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B5294"/>
          <w:sz w:val="40"/>
          <w:szCs w:val="60"/>
          <w:lang w:eastAsia="ja-JP"/>
        </w:rPr>
      </w:pPr>
    </w:p>
    <w:p w14:paraId="367F317A" w14:textId="77777777" w:rsidR="00E71619" w:rsidRPr="001E1A0D" w:rsidRDefault="00E71619" w:rsidP="00E71619">
      <w:pPr>
        <w:widowControl w:val="0"/>
        <w:autoSpaceDE w:val="0"/>
        <w:autoSpaceDN w:val="0"/>
        <w:adjustRightInd w:val="0"/>
        <w:spacing w:line="312" w:lineRule="auto"/>
        <w:jc w:val="center"/>
        <w:textAlignment w:val="center"/>
        <w:rPr>
          <w:rFonts w:ascii="Arial" w:eastAsia="MS Mincho" w:hAnsi="Arial" w:cs="Arial"/>
          <w:b/>
          <w:bCs/>
          <w:color w:val="0B5294"/>
          <w:sz w:val="56"/>
          <w:szCs w:val="56"/>
          <w:lang w:eastAsia="ja-JP"/>
        </w:rPr>
      </w:pPr>
      <w:r w:rsidRPr="001E1A0D">
        <w:rPr>
          <w:rFonts w:ascii="Arial" w:eastAsia="MS Mincho" w:hAnsi="Arial" w:cs="Arial"/>
          <w:b/>
          <w:bCs/>
          <w:color w:val="0B5294"/>
          <w:sz w:val="56"/>
          <w:szCs w:val="56"/>
          <w:lang w:eastAsia="ja-JP"/>
        </w:rPr>
        <w:t>SPECIFICKÁ PRAVIDLA PRO ŽADATELE A PŘÍJEMCE</w:t>
      </w:r>
    </w:p>
    <w:p w14:paraId="4899D6CF" w14:textId="77777777" w:rsidR="00E71619" w:rsidRPr="001E1A0D" w:rsidRDefault="00E71619" w:rsidP="00E71619">
      <w:pPr>
        <w:widowControl w:val="0"/>
        <w:autoSpaceDE w:val="0"/>
        <w:autoSpaceDN w:val="0"/>
        <w:adjustRightInd w:val="0"/>
        <w:spacing w:line="288" w:lineRule="auto"/>
        <w:textAlignment w:val="center"/>
        <w:rPr>
          <w:rFonts w:ascii="Arial" w:eastAsia="MS Mincho" w:hAnsi="Arial" w:cs="Arial"/>
          <w:b/>
          <w:bCs/>
          <w:color w:val="0B5294"/>
          <w:sz w:val="36"/>
          <w:szCs w:val="36"/>
          <w:lang w:eastAsia="ja-JP"/>
        </w:rPr>
      </w:pPr>
    </w:p>
    <w:p w14:paraId="50D29399" w14:textId="77777777" w:rsidR="00E71619" w:rsidRPr="001E1A0D"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sidRPr="001E1A0D">
        <w:rPr>
          <w:rFonts w:ascii="Arial" w:eastAsia="MS Mincho" w:hAnsi="Arial" w:cs="Arial"/>
          <w:b/>
          <w:bCs/>
          <w:color w:val="0B5294"/>
          <w:sz w:val="44"/>
          <w:szCs w:val="44"/>
          <w:lang w:eastAsia="ja-JP"/>
        </w:rPr>
        <w:t xml:space="preserve">PŘÍLOHA </w:t>
      </w:r>
      <w:r>
        <w:rPr>
          <w:rFonts w:ascii="Arial" w:eastAsia="MS Mincho" w:hAnsi="Arial" w:cs="Arial"/>
          <w:b/>
          <w:bCs/>
          <w:color w:val="0B5294"/>
          <w:sz w:val="44"/>
          <w:szCs w:val="44"/>
          <w:lang w:eastAsia="ja-JP"/>
        </w:rPr>
        <w:t>1</w:t>
      </w:r>
    </w:p>
    <w:p w14:paraId="39752A9A" w14:textId="77777777" w:rsidR="00E71619" w:rsidRPr="001E1A0D"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Pr>
          <w:rFonts w:ascii="Arial" w:eastAsia="MS Mincho" w:hAnsi="Arial" w:cs="Arial"/>
          <w:b/>
          <w:bCs/>
          <w:color w:val="0B5294"/>
          <w:sz w:val="44"/>
          <w:szCs w:val="44"/>
          <w:lang w:eastAsia="ja-JP"/>
        </w:rPr>
        <w:t>METODICKÉ LISTY INDIKÁTORŮ</w:t>
      </w:r>
    </w:p>
    <w:p w14:paraId="3185B831" w14:textId="3F0E8B2B" w:rsidR="00616113" w:rsidRPr="00334878" w:rsidRDefault="00616113" w:rsidP="00616113">
      <w:pPr>
        <w:pStyle w:val="Zkladnodstavec"/>
        <w:spacing w:before="360"/>
        <w:contextualSpacing/>
        <w:jc w:val="center"/>
        <w:rPr>
          <w:rFonts w:ascii="Arial" w:hAnsi="Arial" w:cs="Arial"/>
          <w:caps/>
          <w:color w:val="auto"/>
          <w:sz w:val="36"/>
          <w:szCs w:val="36"/>
        </w:rPr>
      </w:pPr>
      <w:r w:rsidRPr="00334878">
        <w:rPr>
          <w:rFonts w:ascii="Arial" w:hAnsi="Arial" w:cs="Arial"/>
          <w:caps/>
          <w:color w:val="auto"/>
          <w:sz w:val="36"/>
          <w:szCs w:val="36"/>
        </w:rPr>
        <w:t>4</w:t>
      </w:r>
      <w:r w:rsidR="0049190F">
        <w:rPr>
          <w:rFonts w:ascii="Arial" w:hAnsi="Arial" w:cs="Arial"/>
          <w:caps/>
          <w:color w:val="auto"/>
          <w:sz w:val="36"/>
          <w:szCs w:val="36"/>
        </w:rPr>
        <w:t>9</w:t>
      </w:r>
      <w:r w:rsidRPr="00334878">
        <w:rPr>
          <w:rFonts w:ascii="Arial" w:hAnsi="Arial" w:cs="Arial"/>
          <w:caps/>
          <w:color w:val="auto"/>
          <w:sz w:val="36"/>
          <w:szCs w:val="36"/>
        </w:rPr>
        <w:t xml:space="preserve">. výzva irop </w:t>
      </w:r>
      <w:r w:rsidRPr="00334878">
        <w:rPr>
          <w:rFonts w:ascii="Arial" w:hAnsi="Arial" w:cs="Arial"/>
          <w:color w:val="auto"/>
          <w:sz w:val="36"/>
          <w:szCs w:val="36"/>
        </w:rPr>
        <w:t>–</w:t>
      </w:r>
      <w:r w:rsidRPr="00334878">
        <w:rPr>
          <w:rFonts w:ascii="Arial" w:hAnsi="Arial" w:cs="Arial"/>
          <w:caps/>
          <w:color w:val="auto"/>
          <w:sz w:val="36"/>
          <w:szCs w:val="36"/>
        </w:rPr>
        <w:t xml:space="preserve"> Sociální služby</w:t>
      </w:r>
      <w:r w:rsidR="00425BCA">
        <w:rPr>
          <w:rFonts w:ascii="Arial" w:hAnsi="Arial" w:cs="Arial"/>
          <w:caps/>
          <w:color w:val="auto"/>
          <w:sz w:val="36"/>
          <w:szCs w:val="36"/>
        </w:rPr>
        <w:t xml:space="preserve"> </w:t>
      </w:r>
      <w:r w:rsidRPr="00334878">
        <w:rPr>
          <w:rFonts w:ascii="Arial" w:hAnsi="Arial" w:cs="Arial"/>
          <w:color w:val="auto"/>
          <w:sz w:val="36"/>
          <w:szCs w:val="36"/>
        </w:rPr>
        <w:t>–</w:t>
      </w:r>
      <w:r w:rsidRPr="00334878">
        <w:rPr>
          <w:rFonts w:ascii="Arial" w:hAnsi="Arial" w:cs="Arial"/>
          <w:caps/>
          <w:color w:val="auto"/>
          <w:sz w:val="36"/>
          <w:szCs w:val="36"/>
        </w:rPr>
        <w:t xml:space="preserve"> SC </w:t>
      </w:r>
      <w:r w:rsidR="0049190F">
        <w:rPr>
          <w:rFonts w:ascii="Arial" w:hAnsi="Arial" w:cs="Arial"/>
          <w:caps/>
          <w:color w:val="auto"/>
          <w:sz w:val="36"/>
          <w:szCs w:val="36"/>
        </w:rPr>
        <w:t>5</w:t>
      </w:r>
      <w:r w:rsidRPr="00334878">
        <w:rPr>
          <w:rFonts w:ascii="Arial" w:hAnsi="Arial" w:cs="Arial"/>
          <w:caps/>
          <w:color w:val="auto"/>
          <w:sz w:val="36"/>
          <w:szCs w:val="36"/>
        </w:rPr>
        <w:t>.</w:t>
      </w:r>
      <w:r w:rsidR="0049190F">
        <w:rPr>
          <w:rFonts w:ascii="Arial" w:hAnsi="Arial" w:cs="Arial"/>
          <w:caps/>
          <w:color w:val="auto"/>
          <w:sz w:val="36"/>
          <w:szCs w:val="36"/>
        </w:rPr>
        <w:t>1</w:t>
      </w:r>
      <w:r w:rsidRPr="00334878">
        <w:rPr>
          <w:rFonts w:ascii="Arial" w:hAnsi="Arial" w:cs="Arial"/>
          <w:caps/>
          <w:color w:val="auto"/>
          <w:sz w:val="36"/>
          <w:szCs w:val="36"/>
        </w:rPr>
        <w:t xml:space="preserve"> (</w:t>
      </w:r>
      <w:r w:rsidR="00C87A7A">
        <w:rPr>
          <w:rFonts w:ascii="Arial" w:hAnsi="Arial" w:cs="Arial"/>
          <w:caps/>
          <w:color w:val="auto"/>
          <w:sz w:val="36"/>
          <w:szCs w:val="36"/>
        </w:rPr>
        <w:t>CLLD</w:t>
      </w:r>
      <w:r w:rsidRPr="00334878">
        <w:rPr>
          <w:rFonts w:ascii="Arial" w:hAnsi="Arial" w:cs="Arial"/>
          <w:caps/>
          <w:color w:val="auto"/>
          <w:sz w:val="36"/>
          <w:szCs w:val="36"/>
        </w:rPr>
        <w:t>)</w:t>
      </w:r>
    </w:p>
    <w:p w14:paraId="2C8B895F" w14:textId="6E82AF6B" w:rsidR="00E71619" w:rsidRPr="00616113" w:rsidRDefault="00E71619" w:rsidP="00616113">
      <w:pPr>
        <w:pStyle w:val="Zkladnodstavec"/>
        <w:spacing w:before="360"/>
        <w:contextualSpacing/>
        <w:jc w:val="center"/>
        <w:rPr>
          <w:rFonts w:ascii="Arial" w:hAnsi="Arial" w:cs="Arial"/>
          <w:caps/>
          <w:color w:val="auto"/>
          <w:sz w:val="36"/>
          <w:szCs w:val="36"/>
        </w:rPr>
      </w:pPr>
    </w:p>
    <w:p w14:paraId="0021C10E" w14:textId="77777777" w:rsidR="00E71619" w:rsidRPr="001E1A0D" w:rsidRDefault="00E71619" w:rsidP="00E71619">
      <w:pPr>
        <w:spacing w:after="200" w:line="276" w:lineRule="auto"/>
        <w:rPr>
          <w:rFonts w:ascii="Arial" w:eastAsia="Calibri" w:hAnsi="Arial" w:cs="Arial"/>
          <w:b/>
          <w:color w:val="7F7F7F"/>
          <w:sz w:val="36"/>
          <w:szCs w:val="36"/>
          <w:lang w:eastAsia="en-US"/>
        </w:rPr>
      </w:pPr>
    </w:p>
    <w:p w14:paraId="29F7EAC3" w14:textId="3B53092F" w:rsidR="00E71619" w:rsidRPr="00D93D9E" w:rsidRDefault="00E71619" w:rsidP="00E71619">
      <w:pPr>
        <w:spacing w:after="200" w:line="276" w:lineRule="auto"/>
        <w:jc w:val="center"/>
        <w:rPr>
          <w:rFonts w:ascii="Arial" w:eastAsia="Calibri" w:hAnsi="Arial" w:cs="Arial"/>
          <w:caps/>
          <w:color w:val="7F7F7F"/>
          <w:sz w:val="32"/>
          <w:szCs w:val="32"/>
          <w:lang w:eastAsia="en-US"/>
        </w:rPr>
        <w:sectPr w:rsidR="00E71619" w:rsidRPr="00D93D9E" w:rsidSect="00E97896">
          <w:headerReference w:type="default" r:id="rId12"/>
          <w:headerReference w:type="first" r:id="rId13"/>
          <w:pgSz w:w="11906" w:h="16838"/>
          <w:pgMar w:top="1418" w:right="1418" w:bottom="1418" w:left="1418" w:header="709" w:footer="709" w:gutter="0"/>
          <w:cols w:space="708"/>
          <w:docGrid w:linePitch="360"/>
        </w:sectPr>
      </w:pPr>
      <w:r w:rsidRPr="00263A97">
        <w:rPr>
          <w:rFonts w:ascii="Arial" w:eastAsia="Calibri" w:hAnsi="Arial" w:cs="Arial"/>
          <w:caps/>
          <w:color w:val="7F7F7F"/>
          <w:lang w:eastAsia="en-US"/>
        </w:rPr>
        <w:t>VERZE</w:t>
      </w:r>
      <w:r w:rsidR="00616113" w:rsidRPr="00D93D9E">
        <w:rPr>
          <w:rFonts w:ascii="Arial" w:eastAsia="Calibri" w:hAnsi="Arial" w:cs="Arial"/>
          <w:caps/>
          <w:color w:val="7F7F7F"/>
          <w:sz w:val="32"/>
          <w:szCs w:val="32"/>
          <w:lang w:eastAsia="en-US"/>
        </w:rPr>
        <w:t xml:space="preserve"> 1</w:t>
      </w: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461D6A" w:rsidRPr="00CE6BEE" w14:paraId="4E1A5250" w14:textId="77777777" w:rsidTr="00461D6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6FC0AF84" w14:textId="77777777" w:rsidR="00461D6A" w:rsidRPr="000465C4" w:rsidRDefault="00461D6A" w:rsidP="00461D6A">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461D6A" w:rsidRPr="00CE6BEE" w14:paraId="5EF9B558" w14:textId="77777777" w:rsidTr="00461D6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AE89" w14:textId="77777777" w:rsidR="00461D6A" w:rsidRPr="00C81922" w:rsidRDefault="00461D6A" w:rsidP="00461D6A">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8B80E" w14:textId="77777777" w:rsidR="00461D6A" w:rsidRPr="00C81922" w:rsidRDefault="00461D6A" w:rsidP="00461D6A">
            <w:pPr>
              <w:spacing w:before="80" w:after="80" w:line="276" w:lineRule="auto"/>
              <w:ind w:right="170"/>
              <w:jc w:val="center"/>
              <w:rPr>
                <w:rFonts w:ascii="Arial" w:eastAsiaTheme="minorHAnsi" w:hAnsi="Arial" w:cs="Arial"/>
                <w:b/>
                <w:bCs/>
                <w:color w:val="000000"/>
                <w:lang w:eastAsia="en-US"/>
              </w:rPr>
            </w:pPr>
            <w:r>
              <w:rPr>
                <w:rFonts w:ascii="Arial" w:eastAsiaTheme="minorHAnsi" w:hAnsi="Arial" w:cs="Arial"/>
                <w:b/>
                <w:bCs/>
                <w:color w:val="000000"/>
                <w:lang w:eastAsia="en-US"/>
              </w:rPr>
              <w:t xml:space="preserve">554 010 </w:t>
            </w:r>
            <w:r w:rsidRPr="00C81922">
              <w:rPr>
                <w:rFonts w:ascii="Arial" w:eastAsiaTheme="minorHAnsi" w:hAnsi="Arial" w:cs="Arial"/>
                <w:b/>
                <w:bCs/>
                <w:color w:val="000000"/>
                <w:lang w:eastAsia="en-US"/>
              </w:rPr>
              <w:t xml:space="preserve">- </w:t>
            </w:r>
            <w:r>
              <w:rPr>
                <w:rFonts w:ascii="Arial" w:eastAsiaTheme="minorHAnsi" w:hAnsi="Arial" w:cs="Arial"/>
                <w:b/>
                <w:bCs/>
                <w:color w:val="000000"/>
                <w:lang w:eastAsia="en-US"/>
              </w:rPr>
              <w:t>Počet podpořených zázemí pro služby a sociální práci</w:t>
            </w:r>
          </w:p>
        </w:tc>
      </w:tr>
      <w:tr w:rsidR="00461D6A" w:rsidRPr="00AB1542" w14:paraId="42160AEA" w14:textId="77777777" w:rsidTr="00461D6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2CAEDD04" w14:textId="77777777" w:rsidR="00461D6A" w:rsidRPr="00C81922" w:rsidRDefault="00461D6A" w:rsidP="00461D6A">
            <w:pPr>
              <w:pStyle w:val="Nadpis1"/>
              <w:spacing w:before="0" w:after="0"/>
              <w:ind w:left="57" w:right="57"/>
              <w:rPr>
                <w:rFonts w:ascii="Arial" w:hAnsi="Arial" w:cs="Arial"/>
              </w:rPr>
            </w:pPr>
            <w:bookmarkStart w:id="1" w:name="_Toc97720338"/>
            <w:r w:rsidRPr="00C81922">
              <w:rPr>
                <w:rFonts w:ascii="Arial" w:hAnsi="Arial" w:cs="Arial"/>
                <w:caps w:val="0"/>
                <w:sz w:val="22"/>
                <w:szCs w:val="22"/>
              </w:rPr>
              <w:t>Specifický cíl programu</w:t>
            </w:r>
            <w:bookmarkEnd w:id="1"/>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4B61B972" w14:textId="77777777" w:rsidR="00461D6A" w:rsidRPr="00C81922" w:rsidRDefault="00461D6A" w:rsidP="00461D6A">
            <w:pPr>
              <w:pStyle w:val="Nadpis1"/>
              <w:spacing w:before="0" w:after="0"/>
              <w:ind w:left="57" w:right="57"/>
              <w:rPr>
                <w:rFonts w:ascii="Arial" w:hAnsi="Arial" w:cs="Arial"/>
                <w:caps w:val="0"/>
                <w:sz w:val="22"/>
                <w:szCs w:val="22"/>
              </w:rPr>
            </w:pPr>
            <w:bookmarkStart w:id="2" w:name="_Toc97720339"/>
            <w:r w:rsidRPr="00C81922">
              <w:rPr>
                <w:rFonts w:ascii="Arial" w:hAnsi="Arial" w:cs="Arial"/>
                <w:caps w:val="0"/>
                <w:sz w:val="22"/>
                <w:szCs w:val="22"/>
              </w:rPr>
              <w:t>Měrná jednotka</w:t>
            </w:r>
            <w:bookmarkEnd w:id="2"/>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7F141FD4" w14:textId="77777777" w:rsidR="00461D6A" w:rsidRPr="00C81922" w:rsidRDefault="00461D6A" w:rsidP="00461D6A">
            <w:pPr>
              <w:pStyle w:val="Nadpis1"/>
              <w:spacing w:before="0" w:after="0"/>
              <w:ind w:left="57" w:right="57"/>
              <w:rPr>
                <w:rFonts w:ascii="Arial" w:hAnsi="Arial" w:cs="Arial"/>
                <w:caps w:val="0"/>
                <w:sz w:val="22"/>
                <w:szCs w:val="22"/>
              </w:rPr>
            </w:pPr>
            <w:bookmarkStart w:id="3" w:name="_Toc97720340"/>
            <w:r w:rsidRPr="00C81922">
              <w:rPr>
                <w:rFonts w:ascii="Arial" w:hAnsi="Arial" w:cs="Arial"/>
                <w:caps w:val="0"/>
                <w:sz w:val="22"/>
                <w:szCs w:val="22"/>
              </w:rPr>
              <w:t>Typ indikátoru</w:t>
            </w:r>
            <w:bookmarkEnd w:id="3"/>
          </w:p>
        </w:tc>
      </w:tr>
      <w:tr w:rsidR="00461D6A" w:rsidRPr="00AB1542" w14:paraId="468A25E7" w14:textId="77777777" w:rsidTr="00461D6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2AD996F" w14:textId="26908539" w:rsidR="00461D6A" w:rsidRPr="00C81922" w:rsidRDefault="00461D6A" w:rsidP="00461D6A">
            <w:pPr>
              <w:pStyle w:val="Nadpis1"/>
              <w:spacing w:before="0" w:after="0"/>
              <w:ind w:left="57" w:right="57"/>
              <w:rPr>
                <w:rFonts w:ascii="Arial" w:hAnsi="Arial" w:cs="Arial"/>
                <w:caps w:val="0"/>
                <w:sz w:val="22"/>
                <w:szCs w:val="22"/>
              </w:rPr>
            </w:pPr>
            <w:bookmarkStart w:id="4" w:name="_Toc97720341"/>
            <w:r w:rsidRPr="00C81922">
              <w:rPr>
                <w:rFonts w:ascii="Arial" w:hAnsi="Arial" w:cs="Arial"/>
                <w:caps w:val="0"/>
                <w:sz w:val="22"/>
                <w:szCs w:val="22"/>
              </w:rPr>
              <w:t xml:space="preserve">IROP </w:t>
            </w:r>
            <w:bookmarkEnd w:id="4"/>
            <w:r w:rsidR="00D75F24">
              <w:rPr>
                <w:rFonts w:ascii="Arial" w:hAnsi="Arial" w:cs="Arial"/>
                <w:caps w:val="0"/>
                <w:sz w:val="22"/>
                <w:szCs w:val="22"/>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38E41CC7" w14:textId="77777777" w:rsidR="00461D6A" w:rsidRPr="00C81922" w:rsidRDefault="00461D6A" w:rsidP="00461D6A">
            <w:pPr>
              <w:pStyle w:val="Nadpis1"/>
              <w:spacing w:before="0" w:after="0"/>
              <w:ind w:left="57" w:right="57"/>
              <w:rPr>
                <w:rFonts w:ascii="Arial" w:hAnsi="Arial" w:cs="Arial"/>
                <w:caps w:val="0"/>
                <w:sz w:val="22"/>
                <w:szCs w:val="22"/>
              </w:rPr>
            </w:pPr>
            <w:r>
              <w:rPr>
                <w:rFonts w:ascii="Arial" w:hAnsi="Arial" w:cs="Arial"/>
                <w:caps w:val="0"/>
              </w:rPr>
              <w:t>zázemí</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230D5E3" w14:textId="77777777" w:rsidR="00461D6A" w:rsidRPr="00C81922" w:rsidRDefault="00461D6A" w:rsidP="00461D6A">
            <w:pPr>
              <w:pStyle w:val="Nadpis1"/>
              <w:spacing w:before="0" w:after="0"/>
              <w:ind w:left="57" w:right="57"/>
              <w:rPr>
                <w:rFonts w:ascii="Arial" w:hAnsi="Arial" w:cs="Arial"/>
                <w:caps w:val="0"/>
                <w:sz w:val="22"/>
                <w:szCs w:val="22"/>
              </w:rPr>
            </w:pPr>
            <w:r>
              <w:rPr>
                <w:rFonts w:ascii="Arial" w:hAnsi="Arial" w:cs="Arial"/>
                <w:caps w:val="0"/>
                <w:sz w:val="22"/>
                <w:szCs w:val="22"/>
              </w:rPr>
              <w:t>výstup</w:t>
            </w:r>
          </w:p>
        </w:tc>
      </w:tr>
    </w:tbl>
    <w:p w14:paraId="42296BBB" w14:textId="77777777" w:rsidR="00461D6A" w:rsidRPr="00461D6A" w:rsidRDefault="00461D6A" w:rsidP="00461D6A">
      <w:pPr>
        <w:rPr>
          <w:sz w:val="16"/>
          <w:szCs w:val="16"/>
          <w:highlight w:val="lightGray"/>
        </w:rPr>
      </w:pPr>
    </w:p>
    <w:p w14:paraId="3489D063" w14:textId="3A9A07C9" w:rsidR="008A2193" w:rsidRPr="00AB1542" w:rsidRDefault="008A2193" w:rsidP="00822000">
      <w:pPr>
        <w:pStyle w:val="Nadpis1"/>
        <w:spacing w:after="0"/>
        <w:ind w:left="0"/>
        <w:jc w:val="both"/>
        <w:rPr>
          <w:rStyle w:val="Zdraznnintenzivn"/>
          <w:rFonts w:ascii="Arial" w:hAnsi="Arial" w:cs="Arial"/>
          <w:color w:val="31849B" w:themeColor="accent5" w:themeShade="BF"/>
        </w:rPr>
      </w:pPr>
      <w:r w:rsidRPr="00AB1542">
        <w:rPr>
          <w:rStyle w:val="Zdraznnintenzivn"/>
          <w:rFonts w:ascii="Arial" w:hAnsi="Arial" w:cs="Arial"/>
          <w:color w:val="31849B" w:themeColor="accent5" w:themeShade="BF"/>
        </w:rPr>
        <w:t>Definice indikátoru</w:t>
      </w:r>
      <w:bookmarkEnd w:id="0"/>
      <w:r w:rsidRPr="00AB1542">
        <w:rPr>
          <w:rStyle w:val="Zdraznnintenzivn"/>
          <w:rFonts w:ascii="Arial" w:hAnsi="Arial" w:cs="Arial"/>
          <w:color w:val="31849B" w:themeColor="accent5" w:themeShade="BF"/>
        </w:rPr>
        <w:t xml:space="preserve"> </w:t>
      </w:r>
    </w:p>
    <w:p w14:paraId="68FA68FA" w14:textId="40B473B3" w:rsidR="008A2193" w:rsidRPr="009A4CBD" w:rsidRDefault="008C7931" w:rsidP="008C7931">
      <w:pPr>
        <w:spacing w:after="200" w:line="276" w:lineRule="auto"/>
        <w:jc w:val="both"/>
        <w:rPr>
          <w:rFonts w:ascii="Arial" w:hAnsi="Arial" w:cs="Arial"/>
          <w:sz w:val="22"/>
          <w:szCs w:val="22"/>
        </w:rPr>
      </w:pPr>
      <w:proofErr w:type="gramStart"/>
      <w:r>
        <w:rPr>
          <w:rFonts w:ascii="Arial" w:hAnsi="Arial" w:cs="Arial"/>
          <w:sz w:val="22"/>
          <w:szCs w:val="22"/>
        </w:rPr>
        <w:t>Zázemí - jsou</w:t>
      </w:r>
      <w:proofErr w:type="gramEnd"/>
      <w:r>
        <w:rPr>
          <w:rFonts w:ascii="Arial" w:hAnsi="Arial" w:cs="Arial"/>
          <w:sz w:val="22"/>
          <w:szCs w:val="22"/>
        </w:rPr>
        <w:t xml:space="preserve"> prostory a/nebo vybavení prostor, která jsou nezbytná pro realizaci daných služeb či aktivit. Jedná se nejen o nákup či výstavbu prostor, ale i o jejich rekonstrukci a úpravy, případně se může jednat pouze o jejich vybavení, pokud příslušné prostory nebudou pořizovány. Měrnou jednotkou je počet jednotlivých zázemí určených pro jednotlivé služby či aktivity, která jsou funkčně oddělena.</w:t>
      </w:r>
    </w:p>
    <w:p w14:paraId="3527FBE7" w14:textId="5FE6B8E7" w:rsidR="00C3292A" w:rsidRPr="000465C4" w:rsidRDefault="0057432E" w:rsidP="00822000">
      <w:pPr>
        <w:pStyle w:val="Nadpis1"/>
        <w:spacing w:after="0"/>
        <w:ind w:left="0"/>
        <w:jc w:val="both"/>
        <w:rPr>
          <w:rStyle w:val="Zdraznnintenzivn"/>
          <w:rFonts w:ascii="Arial" w:hAnsi="Arial" w:cs="Arial"/>
          <w:color w:val="31849B" w:themeColor="accent5" w:themeShade="BF"/>
        </w:rPr>
      </w:pPr>
      <w:bookmarkStart w:id="5" w:name="_Toc97720346"/>
      <w:r w:rsidRPr="000465C4">
        <w:rPr>
          <w:rStyle w:val="Zdraznnintenzivn"/>
          <w:rFonts w:ascii="Arial" w:hAnsi="Arial" w:cs="Arial"/>
          <w:color w:val="31849B" w:themeColor="accent5" w:themeShade="BF"/>
        </w:rPr>
        <w:t>Upřesňující informace</w:t>
      </w:r>
      <w:bookmarkEnd w:id="5"/>
    </w:p>
    <w:p w14:paraId="7BAC7CCE" w14:textId="4256037E" w:rsidR="002C04B8" w:rsidRPr="00D27F55" w:rsidRDefault="0057432E" w:rsidP="00696CF7">
      <w:pPr>
        <w:spacing w:before="120" w:after="120" w:line="271" w:lineRule="auto"/>
        <w:jc w:val="both"/>
        <w:rPr>
          <w:rFonts w:ascii="Arial" w:hAnsi="Arial" w:cs="Arial"/>
          <w:sz w:val="22"/>
          <w:szCs w:val="22"/>
        </w:rPr>
      </w:pPr>
      <w:r w:rsidRPr="00F6445C">
        <w:rPr>
          <w:rFonts w:ascii="Arial" w:hAnsi="Arial" w:cs="Arial"/>
          <w:sz w:val="22"/>
          <w:szCs w:val="22"/>
        </w:rPr>
        <w:t>Indikátor</w:t>
      </w:r>
      <w:r w:rsidR="00822000" w:rsidRPr="00F6445C">
        <w:rPr>
          <w:rFonts w:ascii="Arial" w:hAnsi="Arial" w:cs="Arial"/>
          <w:sz w:val="22"/>
          <w:szCs w:val="22"/>
        </w:rPr>
        <w:t xml:space="preserve"> je</w:t>
      </w:r>
      <w:r w:rsidRPr="00F6445C">
        <w:rPr>
          <w:rFonts w:ascii="Arial" w:hAnsi="Arial" w:cs="Arial"/>
          <w:sz w:val="22"/>
          <w:szCs w:val="22"/>
        </w:rPr>
        <w:t xml:space="preserve"> </w:t>
      </w:r>
      <w:r w:rsidR="003E3EA1" w:rsidRPr="00F6445C">
        <w:rPr>
          <w:rFonts w:ascii="Arial" w:hAnsi="Arial" w:cs="Arial"/>
          <w:sz w:val="22"/>
          <w:szCs w:val="22"/>
        </w:rPr>
        <w:t>povinný k výběru a naplnění</w:t>
      </w:r>
      <w:r w:rsidRPr="00F6445C">
        <w:rPr>
          <w:rFonts w:ascii="Arial" w:hAnsi="Arial" w:cs="Arial"/>
          <w:sz w:val="22"/>
          <w:szCs w:val="22"/>
        </w:rPr>
        <w:t xml:space="preserve"> pro všechny</w:t>
      </w:r>
      <w:r w:rsidR="002C04B8" w:rsidRPr="00F6445C">
        <w:rPr>
          <w:rFonts w:ascii="Arial" w:hAnsi="Arial" w:cs="Arial"/>
          <w:sz w:val="22"/>
          <w:szCs w:val="22"/>
        </w:rPr>
        <w:t xml:space="preserve"> žádosti o podporu</w:t>
      </w:r>
      <w:r w:rsidRPr="00F6445C">
        <w:rPr>
          <w:rFonts w:ascii="Arial" w:hAnsi="Arial" w:cs="Arial"/>
          <w:sz w:val="22"/>
          <w:szCs w:val="22"/>
        </w:rPr>
        <w:t>.</w:t>
      </w:r>
      <w:r w:rsidR="00D85674" w:rsidRPr="00F6445C">
        <w:rPr>
          <w:rFonts w:ascii="Arial" w:hAnsi="Arial" w:cs="Arial"/>
          <w:sz w:val="22"/>
          <w:szCs w:val="22"/>
        </w:rPr>
        <w:t xml:space="preserve"> </w:t>
      </w:r>
    </w:p>
    <w:p w14:paraId="6976FF08" w14:textId="09D6321F" w:rsidR="00216921" w:rsidRDefault="008A2193" w:rsidP="00696CF7">
      <w:pPr>
        <w:spacing w:before="120" w:after="120" w:line="271" w:lineRule="auto"/>
        <w:jc w:val="both"/>
        <w:rPr>
          <w:rFonts w:ascii="Arial" w:hAnsi="Arial" w:cs="Arial"/>
          <w:sz w:val="22"/>
          <w:szCs w:val="22"/>
        </w:rPr>
      </w:pPr>
      <w:r w:rsidRPr="00216921">
        <w:rPr>
          <w:rFonts w:ascii="Arial" w:hAnsi="Arial" w:cs="Arial"/>
          <w:sz w:val="22"/>
          <w:szCs w:val="22"/>
        </w:rPr>
        <w:t xml:space="preserve">Žadatel </w:t>
      </w:r>
      <w:r w:rsidR="00216921">
        <w:rPr>
          <w:rFonts w:ascii="Arial" w:hAnsi="Arial" w:cs="Arial"/>
          <w:sz w:val="22"/>
          <w:szCs w:val="22"/>
        </w:rPr>
        <w:t>uvede</w:t>
      </w:r>
      <w:r w:rsidR="005A59F6">
        <w:rPr>
          <w:rFonts w:ascii="Arial" w:hAnsi="Arial" w:cs="Arial"/>
          <w:sz w:val="22"/>
          <w:szCs w:val="22"/>
        </w:rPr>
        <w:t xml:space="preserve"> jako cílovou hodnotu</w:t>
      </w:r>
      <w:r w:rsidRPr="00216921">
        <w:rPr>
          <w:rFonts w:ascii="Arial" w:hAnsi="Arial" w:cs="Arial"/>
          <w:sz w:val="22"/>
          <w:szCs w:val="22"/>
        </w:rPr>
        <w:t xml:space="preserve"> </w:t>
      </w:r>
      <w:r w:rsidR="00216921" w:rsidRPr="00216921">
        <w:rPr>
          <w:rFonts w:ascii="Arial" w:hAnsi="Arial" w:cs="Arial"/>
          <w:sz w:val="22"/>
          <w:szCs w:val="22"/>
        </w:rPr>
        <w:t>počet zázemí</w:t>
      </w:r>
      <w:r w:rsidR="00E67719">
        <w:rPr>
          <w:rFonts w:ascii="Arial" w:hAnsi="Arial" w:cs="Arial"/>
          <w:sz w:val="22"/>
          <w:szCs w:val="22"/>
        </w:rPr>
        <w:t>,</w:t>
      </w:r>
      <w:r w:rsidR="00216921">
        <w:rPr>
          <w:rFonts w:ascii="Arial" w:hAnsi="Arial" w:cs="Arial"/>
          <w:sz w:val="22"/>
          <w:szCs w:val="22"/>
        </w:rPr>
        <w:t xml:space="preserve"> která</w:t>
      </w:r>
      <w:r w:rsidR="00E67719">
        <w:rPr>
          <w:rFonts w:ascii="Arial" w:hAnsi="Arial" w:cs="Arial"/>
          <w:sz w:val="22"/>
          <w:szCs w:val="22"/>
        </w:rPr>
        <w:t xml:space="preserve"> budou</w:t>
      </w:r>
      <w:r w:rsidR="00216921">
        <w:rPr>
          <w:rFonts w:ascii="Arial" w:hAnsi="Arial" w:cs="Arial"/>
          <w:sz w:val="22"/>
          <w:szCs w:val="22"/>
        </w:rPr>
        <w:t xml:space="preserve"> projektem podpoř</w:t>
      </w:r>
      <w:r w:rsidR="00E67719">
        <w:rPr>
          <w:rFonts w:ascii="Arial" w:hAnsi="Arial" w:cs="Arial"/>
          <w:sz w:val="22"/>
          <w:szCs w:val="22"/>
        </w:rPr>
        <w:t>ena</w:t>
      </w:r>
      <w:r w:rsidR="005A59F6">
        <w:rPr>
          <w:rFonts w:ascii="Arial" w:hAnsi="Arial" w:cs="Arial"/>
          <w:sz w:val="22"/>
          <w:szCs w:val="22"/>
        </w:rPr>
        <w:t>.</w:t>
      </w:r>
      <w:r w:rsidR="00216921">
        <w:rPr>
          <w:rFonts w:ascii="Arial" w:hAnsi="Arial" w:cs="Arial"/>
          <w:sz w:val="22"/>
          <w:szCs w:val="22"/>
        </w:rPr>
        <w:t xml:space="preserve"> </w:t>
      </w:r>
      <w:r w:rsidR="005A59F6">
        <w:rPr>
          <w:rFonts w:ascii="Arial" w:hAnsi="Arial" w:cs="Arial"/>
          <w:sz w:val="22"/>
          <w:szCs w:val="22"/>
        </w:rPr>
        <w:t>V</w:t>
      </w:r>
      <w:r w:rsidR="00216921">
        <w:rPr>
          <w:rFonts w:ascii="Arial" w:hAnsi="Arial" w:cs="Arial"/>
          <w:sz w:val="22"/>
          <w:szCs w:val="22"/>
        </w:rPr>
        <w:t>zhledem k široké škále podporovaných služeb je pojetí indikátoru shrnuto na následujících příkladech:</w:t>
      </w:r>
    </w:p>
    <w:p w14:paraId="21B8166A" w14:textId="77777777" w:rsidR="00216921" w:rsidRPr="00216921" w:rsidRDefault="00216921" w:rsidP="00216921">
      <w:pPr>
        <w:spacing w:before="120" w:after="120" w:line="259" w:lineRule="auto"/>
        <w:ind w:right="170"/>
        <w:jc w:val="both"/>
        <w:rPr>
          <w:rFonts w:ascii="Arial" w:eastAsiaTheme="minorHAnsi" w:hAnsi="Arial" w:cs="Arial"/>
          <w:b/>
          <w:sz w:val="22"/>
          <w:szCs w:val="22"/>
          <w:lang w:eastAsia="en-US"/>
        </w:rPr>
      </w:pPr>
      <w:r w:rsidRPr="00216921">
        <w:rPr>
          <w:rFonts w:ascii="Arial" w:eastAsiaTheme="minorHAnsi" w:hAnsi="Arial" w:cs="Arial"/>
          <w:b/>
          <w:sz w:val="22"/>
          <w:szCs w:val="22"/>
          <w:lang w:eastAsia="en-US"/>
        </w:rPr>
        <w:t>Příklady stanovení hodnot:</w:t>
      </w:r>
    </w:p>
    <w:p w14:paraId="2E40B494" w14:textId="77777777" w:rsidR="00216921" w:rsidRPr="00216921" w:rsidRDefault="00216921" w:rsidP="00216921">
      <w:pPr>
        <w:numPr>
          <w:ilvl w:val="0"/>
          <w:numId w:val="38"/>
        </w:numPr>
        <w:spacing w:before="120" w:after="120" w:line="276" w:lineRule="auto"/>
        <w:ind w:right="170"/>
        <w:jc w:val="both"/>
        <w:rPr>
          <w:rFonts w:ascii="Arial" w:eastAsiaTheme="minorHAnsi" w:hAnsi="Arial" w:cs="Arial"/>
          <w:sz w:val="22"/>
          <w:szCs w:val="22"/>
          <w:lang w:eastAsia="en-US"/>
        </w:rPr>
      </w:pPr>
      <w:r w:rsidRPr="00216921">
        <w:rPr>
          <w:rFonts w:ascii="Arial" w:eastAsiaTheme="minorHAnsi" w:hAnsi="Arial" w:cs="Arial"/>
          <w:sz w:val="22"/>
          <w:szCs w:val="22"/>
          <w:lang w:eastAsia="en-US"/>
        </w:rPr>
        <w:t xml:space="preserve">Jednotlivá zázemí pro sociální služby jsou započítávána samostatně. Je-li například součástí projektu vybudování zázemí </w:t>
      </w:r>
      <w:r w:rsidRPr="00216921">
        <w:rPr>
          <w:rFonts w:ascii="Arial" w:eastAsiaTheme="minorHAnsi" w:hAnsi="Arial" w:cs="Arial"/>
          <w:color w:val="000000"/>
          <w:sz w:val="22"/>
          <w:szCs w:val="22"/>
          <w:lang w:eastAsia="en-US"/>
        </w:rPr>
        <w:t>týdenního stacionáře</w:t>
      </w:r>
      <w:r w:rsidRPr="00216921">
        <w:rPr>
          <w:rFonts w:ascii="Arial" w:eastAsiaTheme="minorHAnsi" w:hAnsi="Arial" w:cs="Arial"/>
          <w:sz w:val="22"/>
          <w:szCs w:val="22"/>
          <w:lang w:eastAsia="en-US"/>
        </w:rPr>
        <w:t xml:space="preserve"> a zároveň vybudování sociálně terapeutických dílen a dalších provozů pro klienty domova, jsou dílny považovány za samostatné zázemí a jsou samostatně započítány do cílové hodnoty indikátoru. </w:t>
      </w:r>
    </w:p>
    <w:p w14:paraId="035C6F78" w14:textId="1A5F6DEB" w:rsidR="00216921" w:rsidRPr="00216921" w:rsidRDefault="00216921" w:rsidP="00216921">
      <w:pPr>
        <w:numPr>
          <w:ilvl w:val="0"/>
          <w:numId w:val="38"/>
        </w:numPr>
        <w:spacing w:before="120" w:after="120" w:line="276" w:lineRule="auto"/>
        <w:ind w:right="170"/>
        <w:jc w:val="both"/>
        <w:rPr>
          <w:rFonts w:ascii="Arial" w:eastAsiaTheme="minorHAnsi" w:hAnsi="Arial" w:cs="Arial"/>
          <w:b/>
          <w:bCs/>
          <w:sz w:val="22"/>
          <w:szCs w:val="22"/>
          <w:lang w:eastAsia="en-US"/>
        </w:rPr>
      </w:pPr>
      <w:r w:rsidRPr="00216921">
        <w:rPr>
          <w:rFonts w:ascii="Arial" w:eastAsiaTheme="minorHAnsi" w:hAnsi="Arial" w:cs="Arial"/>
          <w:sz w:val="22"/>
          <w:szCs w:val="22"/>
          <w:lang w:eastAsia="en-US"/>
        </w:rPr>
        <w:t xml:space="preserve">Za podpořené zázemí se považuje i vybavení pro poskytování sociálních služeb a práce, které není bezprostředně vázáno (umístěno) na konkrétní prostory. </w:t>
      </w:r>
      <w:r w:rsidRPr="00216921">
        <w:rPr>
          <w:rFonts w:ascii="Arial" w:eastAsiaTheme="minorHAnsi" w:hAnsi="Arial" w:cs="Arial"/>
          <w:b/>
          <w:bCs/>
          <w:sz w:val="22"/>
          <w:szCs w:val="22"/>
          <w:lang w:eastAsia="en-US"/>
        </w:rPr>
        <w:t>Za zázemí je tak považován např. soubor vybavení mobilního týmu poskytujícího terénní služby. Pokud však poskytovatel disponuje více mobilními týmy a v rámci projektu pořizuje takových souborů několik, není započítáván každý soubor samostatně, ale veškeré takové vybavení bude započteno jako jedno podpořené zázemí poskytovatele pro poskytování sociální služby.</w:t>
      </w:r>
    </w:p>
    <w:p w14:paraId="0C2CF453" w14:textId="77777777" w:rsidR="00216921" w:rsidRPr="00216921" w:rsidRDefault="00216921" w:rsidP="00216921">
      <w:pPr>
        <w:numPr>
          <w:ilvl w:val="0"/>
          <w:numId w:val="38"/>
        </w:numPr>
        <w:spacing w:before="120" w:after="120" w:line="276" w:lineRule="auto"/>
        <w:ind w:right="170"/>
        <w:jc w:val="both"/>
        <w:rPr>
          <w:rFonts w:ascii="Arial" w:eastAsiaTheme="minorHAnsi" w:hAnsi="Arial" w:cs="Arial"/>
          <w:sz w:val="22"/>
          <w:szCs w:val="22"/>
          <w:u w:val="single"/>
          <w:lang w:eastAsia="en-US"/>
        </w:rPr>
      </w:pPr>
      <w:r w:rsidRPr="00216921">
        <w:rPr>
          <w:rFonts w:ascii="Arial" w:eastAsiaTheme="minorHAnsi" w:hAnsi="Arial" w:cs="Arial"/>
          <w:sz w:val="22"/>
          <w:szCs w:val="22"/>
          <w:lang w:eastAsia="en-US"/>
        </w:rPr>
        <w:t>V případě, kdy poskytovatel v rámci jednoho projektu realizuje více zcela funkčně, typově nebo místně oddělených zázemí sociálních služeb a práce, je třeba každé takovéto zázemí počítat do cílové hodnoty samostatně. Pokud například buduje/rekonstruuje v rámci jednoho objektu zázemí pro poskytování ambulantní sociální služby a současně vybavuje mobilní tým pro poskytování terénních služeb, které také zajišťuje, pak je třeba zázemí pro oba typy sociální služby započítat samostatně do cílové hodnoty indikátoru (ta by v takovém případě byla rovna 2).</w:t>
      </w:r>
    </w:p>
    <w:p w14:paraId="33A5C5F1" w14:textId="3391BF66" w:rsidR="00216921" w:rsidRPr="00216921" w:rsidRDefault="00216921" w:rsidP="00216921">
      <w:pPr>
        <w:numPr>
          <w:ilvl w:val="0"/>
          <w:numId w:val="38"/>
        </w:numPr>
        <w:spacing w:before="120" w:after="120" w:line="276" w:lineRule="auto"/>
        <w:ind w:right="170"/>
        <w:jc w:val="both"/>
        <w:rPr>
          <w:rFonts w:ascii="Arial" w:eastAsiaTheme="minorHAnsi" w:hAnsi="Arial" w:cs="Arial"/>
          <w:sz w:val="22"/>
          <w:szCs w:val="22"/>
          <w:lang w:eastAsia="en-US"/>
        </w:rPr>
      </w:pPr>
      <w:r w:rsidRPr="00216921">
        <w:rPr>
          <w:rFonts w:ascii="Arial" w:eastAsiaTheme="minorHAnsi" w:hAnsi="Arial" w:cs="Arial"/>
          <w:sz w:val="22"/>
          <w:szCs w:val="22"/>
          <w:lang w:eastAsia="en-US"/>
        </w:rPr>
        <w:t>V případě pobytových služeb jsou jednotlivé bytové jednotky se stejný</w:t>
      </w:r>
      <w:r w:rsidR="002B59B8">
        <w:rPr>
          <w:rFonts w:ascii="Arial" w:eastAsiaTheme="minorHAnsi" w:hAnsi="Arial" w:cs="Arial"/>
          <w:sz w:val="22"/>
          <w:szCs w:val="22"/>
          <w:lang w:eastAsia="en-US"/>
        </w:rPr>
        <w:t>m</w:t>
      </w:r>
      <w:r w:rsidRPr="00216921">
        <w:rPr>
          <w:rFonts w:ascii="Arial" w:eastAsiaTheme="minorHAnsi" w:hAnsi="Arial" w:cs="Arial"/>
          <w:sz w:val="22"/>
          <w:szCs w:val="22"/>
          <w:lang w:eastAsia="en-US"/>
        </w:rPr>
        <w:t xml:space="preserve"> určením v rámci jedné budovy počítány jako součást jednoho zázemí. </w:t>
      </w:r>
    </w:p>
    <w:p w14:paraId="79A79011" w14:textId="49EDF43C" w:rsidR="00216921" w:rsidRPr="00216921" w:rsidRDefault="00216921" w:rsidP="00216921">
      <w:pPr>
        <w:numPr>
          <w:ilvl w:val="0"/>
          <w:numId w:val="39"/>
        </w:numPr>
        <w:spacing w:before="120" w:after="120" w:line="276" w:lineRule="auto"/>
        <w:ind w:right="170"/>
        <w:jc w:val="both"/>
        <w:rPr>
          <w:rFonts w:ascii="Arial" w:eastAsiaTheme="minorHAnsi" w:hAnsi="Arial" w:cs="Arial"/>
          <w:sz w:val="22"/>
          <w:szCs w:val="22"/>
          <w:lang w:eastAsia="en-US"/>
        </w:rPr>
      </w:pPr>
      <w:r w:rsidRPr="00216921">
        <w:rPr>
          <w:rFonts w:ascii="Arial" w:eastAsiaTheme="minorHAnsi" w:hAnsi="Arial" w:cs="Arial"/>
          <w:sz w:val="22"/>
          <w:szCs w:val="22"/>
          <w:lang w:eastAsia="en-US"/>
        </w:rPr>
        <w:lastRenderedPageBreak/>
        <w:t>Například pokud je předmětem projektu výstavba domu se třemi bytovými jednotkami určenými pro</w:t>
      </w:r>
      <w:r w:rsidR="00A82D0E">
        <w:rPr>
          <w:rFonts w:ascii="Arial" w:eastAsiaTheme="minorHAnsi" w:hAnsi="Arial" w:cs="Arial"/>
          <w:sz w:val="22"/>
          <w:szCs w:val="22"/>
          <w:lang w:eastAsia="en-US"/>
        </w:rPr>
        <w:t xml:space="preserve"> </w:t>
      </w:r>
      <w:r w:rsidR="00711A96">
        <w:rPr>
          <w:rFonts w:ascii="Arial" w:eastAsiaTheme="minorHAnsi" w:hAnsi="Arial" w:cs="Arial"/>
          <w:sz w:val="22"/>
          <w:szCs w:val="22"/>
          <w:lang w:eastAsia="en-US"/>
        </w:rPr>
        <w:t>azylový dům</w:t>
      </w:r>
      <w:r w:rsidRPr="00216921">
        <w:rPr>
          <w:rFonts w:ascii="Arial" w:eastAsiaTheme="minorHAnsi" w:hAnsi="Arial" w:cs="Arial"/>
          <w:sz w:val="22"/>
          <w:szCs w:val="22"/>
          <w:lang w:eastAsia="en-US"/>
        </w:rPr>
        <w:t xml:space="preserve"> bude hodnota indikátoru 1. </w:t>
      </w:r>
    </w:p>
    <w:p w14:paraId="2C4ED8BF" w14:textId="48BF8F0B" w:rsidR="00216921" w:rsidRPr="00216921" w:rsidRDefault="00216921" w:rsidP="00216921">
      <w:pPr>
        <w:numPr>
          <w:ilvl w:val="0"/>
          <w:numId w:val="39"/>
        </w:numPr>
        <w:spacing w:before="120" w:after="120" w:line="276" w:lineRule="auto"/>
        <w:ind w:right="170"/>
        <w:jc w:val="both"/>
        <w:rPr>
          <w:rFonts w:ascii="Arial" w:eastAsiaTheme="minorHAnsi" w:hAnsi="Arial" w:cs="Arial"/>
          <w:sz w:val="22"/>
          <w:szCs w:val="22"/>
          <w:lang w:eastAsia="en-US"/>
        </w:rPr>
      </w:pPr>
      <w:r w:rsidRPr="00216921">
        <w:rPr>
          <w:rFonts w:ascii="Arial" w:eastAsiaTheme="minorHAnsi" w:hAnsi="Arial" w:cs="Arial"/>
          <w:sz w:val="22"/>
          <w:szCs w:val="22"/>
          <w:lang w:eastAsia="en-US"/>
        </w:rPr>
        <w:t xml:space="preserve">V případě, že jde o výstavbu 2 domů, každý o dvou bytových jednotkách určených pro </w:t>
      </w:r>
      <w:r w:rsidR="00711A96">
        <w:rPr>
          <w:rFonts w:ascii="Arial" w:eastAsiaTheme="minorHAnsi" w:hAnsi="Arial" w:cs="Arial"/>
          <w:sz w:val="22"/>
          <w:szCs w:val="22"/>
          <w:lang w:eastAsia="en-US"/>
        </w:rPr>
        <w:t>azylový dům</w:t>
      </w:r>
      <w:r w:rsidRPr="00216921">
        <w:rPr>
          <w:rFonts w:ascii="Arial" w:eastAsiaTheme="minorHAnsi" w:hAnsi="Arial" w:cs="Arial"/>
          <w:sz w:val="22"/>
          <w:szCs w:val="22"/>
          <w:lang w:eastAsia="en-US"/>
        </w:rPr>
        <w:t xml:space="preserve">, bude hodnota zázemí 2. </w:t>
      </w:r>
    </w:p>
    <w:p w14:paraId="67DDDD4B" w14:textId="23970490" w:rsidR="00216921" w:rsidRPr="00216921" w:rsidRDefault="00216921" w:rsidP="00216921">
      <w:pPr>
        <w:numPr>
          <w:ilvl w:val="0"/>
          <w:numId w:val="39"/>
        </w:numPr>
        <w:spacing w:before="120" w:after="120" w:line="276" w:lineRule="auto"/>
        <w:ind w:right="170"/>
        <w:jc w:val="both"/>
        <w:rPr>
          <w:rFonts w:ascii="Arial" w:eastAsiaTheme="minorHAnsi" w:hAnsi="Arial" w:cs="Arial"/>
          <w:sz w:val="22"/>
          <w:szCs w:val="22"/>
          <w:lang w:eastAsia="en-US"/>
        </w:rPr>
      </w:pPr>
      <w:r w:rsidRPr="00216921">
        <w:rPr>
          <w:rFonts w:ascii="Arial" w:eastAsiaTheme="minorHAnsi" w:hAnsi="Arial" w:cs="Arial"/>
          <w:sz w:val="22"/>
          <w:szCs w:val="22"/>
          <w:lang w:eastAsia="en-US"/>
        </w:rPr>
        <w:t xml:space="preserve">Pokud bude jedna budova obsahovat bytové jednotky různých typů (např. 2 bytové jednotky pro osoby </w:t>
      </w:r>
      <w:r w:rsidR="00B40D83">
        <w:rPr>
          <w:rFonts w:ascii="Arial" w:eastAsiaTheme="minorHAnsi" w:hAnsi="Arial" w:cs="Arial"/>
          <w:sz w:val="22"/>
          <w:szCs w:val="22"/>
          <w:lang w:eastAsia="en-US"/>
        </w:rPr>
        <w:t>z azylového domu</w:t>
      </w:r>
      <w:r w:rsidRPr="00216921">
        <w:rPr>
          <w:rFonts w:ascii="Arial" w:eastAsiaTheme="minorHAnsi" w:hAnsi="Arial" w:cs="Arial"/>
          <w:sz w:val="22"/>
          <w:szCs w:val="22"/>
          <w:lang w:eastAsia="en-US"/>
        </w:rPr>
        <w:t xml:space="preserve"> a 2 bytové jednotky pro </w:t>
      </w:r>
      <w:r w:rsidR="00B40D83">
        <w:rPr>
          <w:rFonts w:ascii="Arial" w:eastAsiaTheme="minorHAnsi" w:hAnsi="Arial" w:cs="Arial"/>
          <w:sz w:val="22"/>
          <w:szCs w:val="22"/>
          <w:lang w:eastAsia="en-US"/>
        </w:rPr>
        <w:t>krizovou pomoc</w:t>
      </w:r>
      <w:r w:rsidRPr="00216921">
        <w:rPr>
          <w:rFonts w:ascii="Arial" w:eastAsiaTheme="minorHAnsi" w:hAnsi="Arial" w:cs="Arial"/>
          <w:sz w:val="22"/>
          <w:szCs w:val="22"/>
          <w:lang w:eastAsia="en-US"/>
        </w:rPr>
        <w:t xml:space="preserve">) a druhá budova bude obsahovat bytové jednotky stejného typu (např. 2 bytové jednotky určené pro </w:t>
      </w:r>
      <w:r w:rsidR="00B40D83">
        <w:rPr>
          <w:rFonts w:ascii="Arial" w:eastAsiaTheme="minorHAnsi" w:hAnsi="Arial" w:cs="Arial"/>
          <w:sz w:val="22"/>
          <w:szCs w:val="22"/>
          <w:lang w:eastAsia="en-US"/>
        </w:rPr>
        <w:t>sociální rehabilitaci</w:t>
      </w:r>
      <w:r w:rsidRPr="00216921">
        <w:rPr>
          <w:rFonts w:ascii="Arial" w:eastAsiaTheme="minorHAnsi" w:hAnsi="Arial" w:cs="Arial"/>
          <w:sz w:val="22"/>
          <w:szCs w:val="22"/>
          <w:lang w:eastAsia="en-US"/>
        </w:rPr>
        <w:t>), bude se hodnota indikátoru rovnat počtu typů sociálních služeb v každé budově zvlášť – v tomto případě 3 (2+1).</w:t>
      </w:r>
    </w:p>
    <w:p w14:paraId="457F7225" w14:textId="46EDF80F" w:rsidR="00216921" w:rsidRPr="00216921" w:rsidRDefault="00216921" w:rsidP="00216921">
      <w:pPr>
        <w:numPr>
          <w:ilvl w:val="0"/>
          <w:numId w:val="38"/>
        </w:numPr>
        <w:spacing w:before="120" w:after="120" w:line="276" w:lineRule="auto"/>
        <w:ind w:right="170"/>
        <w:jc w:val="both"/>
        <w:rPr>
          <w:rFonts w:ascii="Arial" w:eastAsiaTheme="minorHAnsi" w:hAnsi="Arial" w:cs="Arial"/>
          <w:sz w:val="22"/>
          <w:szCs w:val="22"/>
          <w:u w:val="single"/>
          <w:lang w:eastAsia="en-US"/>
        </w:rPr>
      </w:pPr>
      <w:r w:rsidRPr="00216921">
        <w:rPr>
          <w:rFonts w:ascii="Arial" w:eastAsiaTheme="minorHAnsi" w:hAnsi="Arial" w:cs="Arial"/>
          <w:sz w:val="22"/>
          <w:szCs w:val="22"/>
          <w:lang w:eastAsia="en-US"/>
        </w:rPr>
        <w:t xml:space="preserve">Výpočet hodnoty pro kombinaci bytových jednotek a zázemí pro poskytování sociálních služeb je potom následující – v rámci jednoho domu je vždy každý typ služeb považován za jedno zázemí. Například hodnota indikátoru pro dům, ve kterém kromě 3 bytových jednotek </w:t>
      </w:r>
      <w:r w:rsidR="00B40D83">
        <w:rPr>
          <w:rFonts w:ascii="Arial" w:eastAsiaTheme="minorHAnsi" w:hAnsi="Arial" w:cs="Arial"/>
          <w:sz w:val="22"/>
          <w:szCs w:val="22"/>
          <w:lang w:eastAsia="en-US"/>
        </w:rPr>
        <w:t>azylového domu</w:t>
      </w:r>
      <w:r w:rsidRPr="00216921">
        <w:rPr>
          <w:rFonts w:ascii="Arial" w:eastAsiaTheme="minorHAnsi" w:hAnsi="Arial" w:cs="Arial"/>
          <w:sz w:val="22"/>
          <w:szCs w:val="22"/>
          <w:lang w:eastAsia="en-US"/>
        </w:rPr>
        <w:t xml:space="preserve"> bud</w:t>
      </w:r>
      <w:r w:rsidR="00B40D83">
        <w:rPr>
          <w:rFonts w:ascii="Arial" w:eastAsiaTheme="minorHAnsi" w:hAnsi="Arial" w:cs="Arial"/>
          <w:sz w:val="22"/>
          <w:szCs w:val="22"/>
          <w:lang w:eastAsia="en-US"/>
        </w:rPr>
        <w:t>e</w:t>
      </w:r>
      <w:r w:rsidRPr="00216921">
        <w:rPr>
          <w:rFonts w:ascii="Arial" w:eastAsiaTheme="minorHAnsi" w:hAnsi="Arial" w:cs="Arial"/>
          <w:sz w:val="22"/>
          <w:szCs w:val="22"/>
          <w:lang w:eastAsia="en-US"/>
        </w:rPr>
        <w:t xml:space="preserve"> také chráněn</w:t>
      </w:r>
      <w:r w:rsidR="00B40D83">
        <w:rPr>
          <w:rFonts w:ascii="Arial" w:eastAsiaTheme="minorHAnsi" w:hAnsi="Arial" w:cs="Arial"/>
          <w:sz w:val="22"/>
          <w:szCs w:val="22"/>
          <w:lang w:eastAsia="en-US"/>
        </w:rPr>
        <w:t>á</w:t>
      </w:r>
      <w:r w:rsidRPr="00216921">
        <w:rPr>
          <w:rFonts w:ascii="Arial" w:eastAsiaTheme="minorHAnsi" w:hAnsi="Arial" w:cs="Arial"/>
          <w:sz w:val="22"/>
          <w:szCs w:val="22"/>
          <w:lang w:eastAsia="en-US"/>
        </w:rPr>
        <w:t xml:space="preserve"> díln</w:t>
      </w:r>
      <w:r w:rsidR="00B40D83">
        <w:rPr>
          <w:rFonts w:ascii="Arial" w:eastAsiaTheme="minorHAnsi" w:hAnsi="Arial" w:cs="Arial"/>
          <w:sz w:val="22"/>
          <w:szCs w:val="22"/>
          <w:lang w:eastAsia="en-US"/>
        </w:rPr>
        <w:t>a</w:t>
      </w:r>
      <w:r w:rsidRPr="00216921">
        <w:rPr>
          <w:rFonts w:ascii="Arial" w:eastAsiaTheme="minorHAnsi" w:hAnsi="Arial" w:cs="Arial"/>
          <w:sz w:val="22"/>
          <w:szCs w:val="22"/>
          <w:lang w:eastAsia="en-US"/>
        </w:rPr>
        <w:t>, se bude rovnat 2.</w:t>
      </w:r>
    </w:p>
    <w:p w14:paraId="1C8C5576" w14:textId="175CEBAD" w:rsidR="00822000" w:rsidRPr="009A4CBD" w:rsidRDefault="00822000" w:rsidP="00822000">
      <w:pPr>
        <w:spacing w:before="240" w:after="240"/>
        <w:jc w:val="both"/>
        <w:rPr>
          <w:rFonts w:ascii="Arial" w:hAnsi="Arial" w:cs="Arial"/>
          <w:sz w:val="22"/>
          <w:szCs w:val="22"/>
        </w:rPr>
      </w:pPr>
      <w:r w:rsidRPr="009A4CBD">
        <w:rPr>
          <w:rFonts w:ascii="Arial" w:hAnsi="Arial" w:cs="Arial"/>
          <w:sz w:val="22"/>
          <w:szCs w:val="22"/>
        </w:rPr>
        <w:t xml:space="preserve">Hodnoty jsou vykazovány jako prostý součet. Hodnota je </w:t>
      </w:r>
      <w:r w:rsidRPr="00E67719">
        <w:rPr>
          <w:rFonts w:ascii="Arial" w:hAnsi="Arial" w:cs="Arial"/>
          <w:sz w:val="22"/>
          <w:szCs w:val="22"/>
        </w:rPr>
        <w:t>vykazována s přesností na celé jednotky</w:t>
      </w:r>
      <w:r w:rsidR="00E67719" w:rsidRPr="00E67719">
        <w:rPr>
          <w:rFonts w:ascii="Arial" w:hAnsi="Arial" w:cs="Arial"/>
          <w:sz w:val="22"/>
          <w:szCs w:val="22"/>
        </w:rPr>
        <w:t>.</w:t>
      </w:r>
    </w:p>
    <w:p w14:paraId="69630ACB" w14:textId="7EBCDA19" w:rsidR="00822000" w:rsidRDefault="00822000" w:rsidP="00822000">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7E7D4C34" w14:textId="77777777" w:rsidR="00A27628" w:rsidRPr="00171665" w:rsidRDefault="00A27628" w:rsidP="00A27628">
      <w:pPr>
        <w:spacing w:line="276" w:lineRule="auto"/>
        <w:jc w:val="both"/>
        <w:rPr>
          <w:rFonts w:ascii="Arial" w:hAnsi="Arial" w:cs="Arial"/>
          <w:sz w:val="20"/>
          <w:szCs w:val="20"/>
        </w:rPr>
      </w:pPr>
      <w:r w:rsidRPr="00171665">
        <w:rPr>
          <w:rFonts w:ascii="Arial" w:hAnsi="Arial" w:cs="Arial"/>
          <w:b/>
          <w:bCs/>
          <w:sz w:val="22"/>
          <w:szCs w:val="22"/>
        </w:rPr>
        <w:t xml:space="preserve">Výchozí hodnota: </w:t>
      </w:r>
      <w:r w:rsidRPr="00171665">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0A13694C" w14:textId="073965EA" w:rsidR="008A2193" w:rsidRPr="009A4CBD" w:rsidRDefault="008A2193" w:rsidP="00171665">
      <w:pPr>
        <w:spacing w:before="120" w:after="120" w:line="276" w:lineRule="auto"/>
        <w:jc w:val="both"/>
        <w:rPr>
          <w:rFonts w:ascii="Arial" w:hAnsi="Arial" w:cs="Arial"/>
          <w:sz w:val="22"/>
          <w:szCs w:val="22"/>
        </w:rPr>
      </w:pPr>
      <w:r w:rsidRPr="009A4CBD">
        <w:rPr>
          <w:rFonts w:ascii="Arial" w:hAnsi="Arial" w:cs="Arial"/>
          <w:b/>
          <w:bCs/>
          <w:sz w:val="22"/>
          <w:szCs w:val="22"/>
        </w:rPr>
        <w:t>Cílová hodnota:</w:t>
      </w:r>
      <w:r w:rsidRPr="009A4CBD">
        <w:rPr>
          <w:rFonts w:ascii="Arial" w:hAnsi="Arial" w:cs="Arial"/>
          <w:sz w:val="22"/>
          <w:szCs w:val="22"/>
        </w:rPr>
        <w:t xml:space="preserve"> </w:t>
      </w:r>
      <w:r w:rsidR="00A82D0E">
        <w:rPr>
          <w:rFonts w:ascii="Arial" w:hAnsi="Arial" w:cs="Arial"/>
          <w:sz w:val="22"/>
          <w:szCs w:val="22"/>
        </w:rPr>
        <w:t>P</w:t>
      </w:r>
      <w:r w:rsidR="00E67719" w:rsidRPr="00E67719">
        <w:rPr>
          <w:rFonts w:ascii="Arial" w:hAnsi="Arial" w:cs="Arial"/>
          <w:sz w:val="22"/>
          <w:szCs w:val="22"/>
        </w:rPr>
        <w:t>lánovaný počet projektem nově vytvořených/rekonstruovaných/</w:t>
      </w:r>
      <w:r w:rsidR="00A82D0E">
        <w:rPr>
          <w:rFonts w:ascii="Arial" w:hAnsi="Arial" w:cs="Arial"/>
          <w:sz w:val="22"/>
          <w:szCs w:val="22"/>
        </w:rPr>
        <w:t xml:space="preserve"> </w:t>
      </w:r>
      <w:r w:rsidR="00E67719" w:rsidRPr="00E67719">
        <w:rPr>
          <w:rFonts w:ascii="Arial" w:hAnsi="Arial" w:cs="Arial"/>
          <w:sz w:val="22"/>
          <w:szCs w:val="22"/>
        </w:rPr>
        <w:t>vybavených zázemí</w:t>
      </w:r>
      <w:r w:rsidR="008E4F0B">
        <w:rPr>
          <w:rFonts w:ascii="Arial" w:hAnsi="Arial" w:cs="Arial"/>
          <w:color w:val="000000" w:themeColor="text1"/>
          <w:sz w:val="22"/>
          <w:szCs w:val="22"/>
        </w:rPr>
        <w:t>.</w:t>
      </w:r>
      <w:r w:rsidR="003E3EA1" w:rsidRPr="00D27F55">
        <w:rPr>
          <w:rFonts w:ascii="Arial" w:hAnsi="Arial" w:cs="Arial"/>
          <w:color w:val="000000" w:themeColor="text1"/>
          <w:sz w:val="22"/>
          <w:szCs w:val="22"/>
        </w:rPr>
        <w:t xml:space="preserve"> </w:t>
      </w:r>
      <w:r w:rsidR="00D85674" w:rsidRPr="00E67719">
        <w:rPr>
          <w:rFonts w:ascii="Arial" w:hAnsi="Arial" w:cs="Arial"/>
          <w:b/>
          <w:bCs/>
          <w:sz w:val="22"/>
          <w:szCs w:val="22"/>
        </w:rPr>
        <w:t>Žadatel v</w:t>
      </w:r>
      <w:r w:rsidR="002C04B8" w:rsidRPr="00E67719">
        <w:rPr>
          <w:rFonts w:ascii="Arial" w:hAnsi="Arial" w:cs="Arial"/>
          <w:b/>
          <w:bCs/>
          <w:sz w:val="22"/>
          <w:szCs w:val="22"/>
        </w:rPr>
        <w:t xml:space="preserve"> </w:t>
      </w:r>
      <w:r w:rsidR="000111F4">
        <w:rPr>
          <w:rFonts w:ascii="Arial" w:hAnsi="Arial" w:cs="Arial"/>
          <w:b/>
          <w:bCs/>
          <w:sz w:val="22"/>
          <w:szCs w:val="22"/>
        </w:rPr>
        <w:t>podkladech pro hodnocení</w:t>
      </w:r>
      <w:r w:rsidR="00AD1117" w:rsidRPr="00AD1117">
        <w:rPr>
          <w:rFonts w:ascii="Arial" w:hAnsi="Arial" w:cs="Arial"/>
          <w:b/>
          <w:bCs/>
          <w:sz w:val="22"/>
          <w:szCs w:val="22"/>
        </w:rPr>
        <w:t xml:space="preserve"> </w:t>
      </w:r>
      <w:r w:rsidR="00D85674" w:rsidRPr="00AD1117">
        <w:rPr>
          <w:rFonts w:ascii="Arial" w:hAnsi="Arial" w:cs="Arial"/>
          <w:b/>
          <w:bCs/>
          <w:sz w:val="22"/>
          <w:szCs w:val="22"/>
        </w:rPr>
        <w:t>uvede</w:t>
      </w:r>
      <w:r w:rsidR="00D85674" w:rsidRPr="00E67719">
        <w:rPr>
          <w:rFonts w:ascii="Arial" w:hAnsi="Arial" w:cs="Arial"/>
          <w:b/>
          <w:bCs/>
          <w:sz w:val="22"/>
          <w:szCs w:val="22"/>
        </w:rPr>
        <w:t xml:space="preserve"> způsob výpočtu </w:t>
      </w:r>
      <w:r w:rsidR="001E60CB" w:rsidRPr="00E67719">
        <w:rPr>
          <w:rFonts w:ascii="Arial" w:hAnsi="Arial" w:cs="Arial"/>
          <w:b/>
          <w:bCs/>
          <w:sz w:val="22"/>
          <w:szCs w:val="22"/>
        </w:rPr>
        <w:t>tak</w:t>
      </w:r>
      <w:r w:rsidR="00D85674" w:rsidRPr="00E67719">
        <w:rPr>
          <w:rFonts w:ascii="Arial" w:hAnsi="Arial" w:cs="Arial"/>
          <w:b/>
          <w:bCs/>
          <w:sz w:val="22"/>
          <w:szCs w:val="22"/>
        </w:rPr>
        <w:t>, aby jeho výsledek odpovídal cílové hodnotě a bylo možné ho ověřit.</w:t>
      </w:r>
      <w:r w:rsidR="007A3276" w:rsidRPr="009A4CBD">
        <w:rPr>
          <w:rFonts w:ascii="Arial" w:hAnsi="Arial" w:cs="Arial"/>
          <w:b/>
          <w:bCs/>
          <w:sz w:val="22"/>
          <w:szCs w:val="22"/>
        </w:rPr>
        <w:t xml:space="preserve"> </w:t>
      </w:r>
      <w:r w:rsidR="007A3276" w:rsidRPr="009A4CBD">
        <w:rPr>
          <w:rFonts w:ascii="Arial" w:hAnsi="Arial" w:cs="Arial"/>
          <w:sz w:val="22"/>
          <w:szCs w:val="22"/>
        </w:rPr>
        <w:t>Tuto hodnotu se příjemce zavazuje naplnit k </w:t>
      </w:r>
      <w:r w:rsidR="007A3276" w:rsidRPr="00E67719">
        <w:rPr>
          <w:rFonts w:ascii="Arial" w:hAnsi="Arial" w:cs="Arial"/>
          <w:sz w:val="22"/>
          <w:szCs w:val="22"/>
        </w:rPr>
        <w:t xml:space="preserve">datu </w:t>
      </w:r>
      <w:r w:rsidR="007A3276" w:rsidRPr="00E67719">
        <w:rPr>
          <w:rFonts w:ascii="Arial" w:hAnsi="Arial" w:cs="Arial"/>
          <w:color w:val="000000" w:themeColor="text1"/>
          <w:sz w:val="22"/>
          <w:szCs w:val="22"/>
        </w:rPr>
        <w:t>ukončení realizace</w:t>
      </w:r>
      <w:r w:rsidR="002C04B8" w:rsidRPr="00E67719">
        <w:rPr>
          <w:rFonts w:ascii="Arial" w:hAnsi="Arial" w:cs="Arial"/>
          <w:color w:val="000000" w:themeColor="text1"/>
          <w:sz w:val="22"/>
          <w:szCs w:val="22"/>
        </w:rPr>
        <w:t xml:space="preserve"> projektu</w:t>
      </w:r>
      <w:r w:rsidR="007A3276" w:rsidRPr="00E67719">
        <w:rPr>
          <w:rFonts w:ascii="Arial" w:hAnsi="Arial" w:cs="Arial"/>
          <w:color w:val="000000" w:themeColor="text1"/>
          <w:sz w:val="22"/>
          <w:szCs w:val="22"/>
        </w:rPr>
        <w:t xml:space="preserve"> </w:t>
      </w:r>
      <w:r w:rsidR="007A3276" w:rsidRPr="00E67719">
        <w:rPr>
          <w:rFonts w:ascii="Arial" w:hAnsi="Arial" w:cs="Arial"/>
          <w:sz w:val="22"/>
          <w:szCs w:val="22"/>
        </w:rPr>
        <w:t>a o</w:t>
      </w:r>
      <w:r w:rsidR="002C04B8" w:rsidRPr="00E67719">
        <w:rPr>
          <w:rFonts w:ascii="Arial" w:hAnsi="Arial" w:cs="Arial"/>
          <w:sz w:val="22"/>
          <w:szCs w:val="22"/>
        </w:rPr>
        <w:t>d</w:t>
      </w:r>
      <w:r w:rsidR="007A3276" w:rsidRPr="00E67719">
        <w:rPr>
          <w:rFonts w:ascii="Arial" w:hAnsi="Arial" w:cs="Arial"/>
          <w:sz w:val="22"/>
          <w:szCs w:val="22"/>
        </w:rPr>
        <w:t xml:space="preserve"> tohoto okamžiku udržet až do konce udržitelnosti projektu.</w:t>
      </w:r>
      <w:r w:rsidR="0084772A" w:rsidRPr="009A4CBD">
        <w:rPr>
          <w:rFonts w:ascii="Arial" w:hAnsi="Arial" w:cs="Arial"/>
          <w:sz w:val="22"/>
          <w:szCs w:val="22"/>
        </w:rPr>
        <w:t xml:space="preserve"> </w:t>
      </w:r>
    </w:p>
    <w:p w14:paraId="5B954E88" w14:textId="32D17373" w:rsidR="00184DE7" w:rsidRPr="00FB35D6" w:rsidRDefault="0084772A" w:rsidP="00822000">
      <w:pPr>
        <w:spacing w:after="200" w:line="276" w:lineRule="auto"/>
        <w:jc w:val="both"/>
        <w:rPr>
          <w:rFonts w:ascii="Arial" w:hAnsi="Arial" w:cs="Arial"/>
          <w:color w:val="FF0000"/>
          <w:sz w:val="22"/>
          <w:szCs w:val="22"/>
        </w:rPr>
      </w:pPr>
      <w:r w:rsidRPr="009A4CBD">
        <w:rPr>
          <w:rFonts w:ascii="Arial" w:hAnsi="Arial" w:cs="Arial"/>
          <w:b/>
          <w:bCs/>
          <w:sz w:val="22"/>
          <w:szCs w:val="22"/>
        </w:rPr>
        <w:t xml:space="preserve">Datum </w:t>
      </w:r>
      <w:r w:rsidR="0083531C" w:rsidRPr="009A4CBD">
        <w:rPr>
          <w:rFonts w:ascii="Arial" w:hAnsi="Arial" w:cs="Arial"/>
          <w:b/>
          <w:bCs/>
          <w:sz w:val="22"/>
          <w:szCs w:val="22"/>
        </w:rPr>
        <w:t>cílové hodnoty</w:t>
      </w:r>
      <w:r w:rsidRPr="009A4CBD">
        <w:rPr>
          <w:rFonts w:ascii="Arial" w:hAnsi="Arial" w:cs="Arial"/>
          <w:b/>
          <w:bCs/>
          <w:sz w:val="22"/>
          <w:szCs w:val="22"/>
        </w:rPr>
        <w:t>:</w:t>
      </w:r>
      <w:r w:rsidRPr="009A4CBD">
        <w:rPr>
          <w:rFonts w:ascii="Arial" w:hAnsi="Arial" w:cs="Arial"/>
          <w:sz w:val="22"/>
          <w:szCs w:val="22"/>
        </w:rPr>
        <w:t xml:space="preserve"> </w:t>
      </w:r>
      <w:r w:rsidR="000465C4" w:rsidRPr="009A4CBD">
        <w:rPr>
          <w:rFonts w:ascii="Arial" w:hAnsi="Arial" w:cs="Arial"/>
          <w:sz w:val="22"/>
          <w:szCs w:val="22"/>
        </w:rPr>
        <w:t xml:space="preserve">Žadatel </w:t>
      </w:r>
      <w:r w:rsidRPr="009A4CBD">
        <w:rPr>
          <w:rFonts w:ascii="Arial" w:hAnsi="Arial" w:cs="Arial"/>
          <w:sz w:val="22"/>
          <w:szCs w:val="22"/>
        </w:rPr>
        <w:t>v </w:t>
      </w:r>
      <w:r w:rsidRPr="00AD1117">
        <w:rPr>
          <w:rFonts w:ascii="Arial" w:hAnsi="Arial" w:cs="Arial"/>
          <w:sz w:val="22"/>
          <w:szCs w:val="22"/>
        </w:rPr>
        <w:t>žádosti o podporu stanovuje jako datum ukončení realizace</w:t>
      </w:r>
      <w:r w:rsidR="000465C4" w:rsidRPr="00AD1117">
        <w:rPr>
          <w:rFonts w:ascii="Arial" w:hAnsi="Arial" w:cs="Arial"/>
          <w:sz w:val="22"/>
          <w:szCs w:val="22"/>
        </w:rPr>
        <w:t xml:space="preserve"> projektu</w:t>
      </w:r>
      <w:r w:rsidR="00184DE7" w:rsidRPr="00AD1117">
        <w:rPr>
          <w:rFonts w:ascii="Arial" w:hAnsi="Arial" w:cs="Arial"/>
          <w:sz w:val="22"/>
          <w:szCs w:val="22"/>
        </w:rPr>
        <w:t xml:space="preserve">. </w:t>
      </w:r>
      <w:r w:rsidR="008E4F0B" w:rsidRPr="00AD1117">
        <w:rPr>
          <w:rFonts w:ascii="Arial" w:hAnsi="Arial" w:cs="Arial"/>
          <w:sz w:val="22"/>
          <w:szCs w:val="22"/>
        </w:rPr>
        <w:t>Datum se považuje za Rozhodné datum pro naplnění indikátoru</w:t>
      </w:r>
      <w:r w:rsidR="008E4F0B" w:rsidRPr="008E4F0B">
        <w:rPr>
          <w:rFonts w:ascii="Arial" w:hAnsi="Arial" w:cs="Arial"/>
          <w:sz w:val="22"/>
          <w:szCs w:val="22"/>
        </w:rPr>
        <w:t xml:space="preserve"> a jsou k němu vztahovány další postupy v době udržitelnosti. </w:t>
      </w:r>
    </w:p>
    <w:p w14:paraId="42505901" w14:textId="0D8D1112" w:rsidR="008E4F0B" w:rsidRDefault="008E4F0B" w:rsidP="00822000">
      <w:pPr>
        <w:spacing w:after="20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sidR="003352F8">
        <w:rPr>
          <w:rFonts w:ascii="Arial" w:hAnsi="Arial" w:cs="Arial"/>
          <w:sz w:val="22"/>
          <w:szCs w:val="22"/>
        </w:rPr>
        <w:t> </w:t>
      </w:r>
      <w:r w:rsidRPr="008E4F0B">
        <w:rPr>
          <w:rFonts w:ascii="Arial" w:hAnsi="Arial" w:cs="Arial"/>
          <w:sz w:val="22"/>
          <w:szCs w:val="22"/>
        </w:rPr>
        <w:t>výše uvedeným.</w:t>
      </w:r>
    </w:p>
    <w:p w14:paraId="0990AFD1" w14:textId="768B4A2D" w:rsidR="008A2193" w:rsidRDefault="008A2193" w:rsidP="00822000">
      <w:pPr>
        <w:spacing w:after="200" w:line="276" w:lineRule="auto"/>
        <w:jc w:val="both"/>
        <w:rPr>
          <w:rFonts w:ascii="Arial" w:hAnsi="Arial" w:cs="Arial"/>
          <w:sz w:val="22"/>
          <w:szCs w:val="22"/>
        </w:rPr>
      </w:pPr>
      <w:r w:rsidRPr="009A4CBD">
        <w:rPr>
          <w:rFonts w:ascii="Arial" w:hAnsi="Arial" w:cs="Arial"/>
          <w:b/>
          <w:bCs/>
          <w:sz w:val="22"/>
          <w:szCs w:val="22"/>
        </w:rPr>
        <w:t>Dosažená hodnota:</w:t>
      </w:r>
      <w:r w:rsidRPr="009A4CBD">
        <w:rPr>
          <w:rFonts w:ascii="Arial" w:hAnsi="Arial" w:cs="Arial"/>
          <w:sz w:val="22"/>
          <w:szCs w:val="22"/>
        </w:rPr>
        <w:t xml:space="preserve"> </w:t>
      </w:r>
      <w:r w:rsidR="00A82D0E">
        <w:rPr>
          <w:rFonts w:ascii="Arial" w:hAnsi="Arial" w:cs="Arial"/>
          <w:sz w:val="22"/>
          <w:szCs w:val="22"/>
        </w:rPr>
        <w:t>S</w:t>
      </w:r>
      <w:r w:rsidR="005A59F6">
        <w:rPr>
          <w:rFonts w:ascii="Arial" w:hAnsi="Arial" w:cs="Arial"/>
          <w:sz w:val="22"/>
          <w:szCs w:val="22"/>
        </w:rPr>
        <w:t xml:space="preserve">kutečný </w:t>
      </w:r>
      <w:r w:rsidR="00E67719" w:rsidRPr="00E67719">
        <w:rPr>
          <w:rFonts w:ascii="Arial" w:hAnsi="Arial" w:cs="Arial"/>
          <w:sz w:val="22"/>
          <w:szCs w:val="22"/>
        </w:rPr>
        <w:t>počet projektem nově vytvořených/rekonstruovaných/</w:t>
      </w:r>
      <w:r w:rsidR="002B59B8">
        <w:rPr>
          <w:rFonts w:ascii="Arial" w:hAnsi="Arial" w:cs="Arial"/>
          <w:sz w:val="22"/>
          <w:szCs w:val="22"/>
        </w:rPr>
        <w:t xml:space="preserve"> </w:t>
      </w:r>
      <w:r w:rsidR="00E67719" w:rsidRPr="00E67719">
        <w:rPr>
          <w:rFonts w:ascii="Arial" w:hAnsi="Arial" w:cs="Arial"/>
          <w:sz w:val="22"/>
          <w:szCs w:val="22"/>
        </w:rPr>
        <w:t>vybavených zázemí</w:t>
      </w:r>
      <w:r w:rsidR="007A3276" w:rsidRPr="00E67719">
        <w:rPr>
          <w:rFonts w:ascii="Arial" w:hAnsi="Arial" w:cs="Arial"/>
          <w:sz w:val="22"/>
          <w:szCs w:val="22"/>
        </w:rPr>
        <w:t xml:space="preserve">. </w:t>
      </w:r>
      <w:r w:rsidR="003E3EA1" w:rsidRPr="00E67719">
        <w:rPr>
          <w:rFonts w:ascii="Arial" w:hAnsi="Arial" w:cs="Arial"/>
          <w:sz w:val="22"/>
          <w:szCs w:val="22"/>
        </w:rPr>
        <w:t>Ho</w:t>
      </w:r>
      <w:r w:rsidR="003E3EA1" w:rsidRPr="003E3EA1">
        <w:rPr>
          <w:rFonts w:ascii="Arial" w:hAnsi="Arial" w:cs="Arial"/>
          <w:sz w:val="22"/>
          <w:szCs w:val="22"/>
        </w:rPr>
        <w:t xml:space="preserve">dnotu je nutné poprvé vykázat nejpozději k Rozhodnému datu, </w:t>
      </w:r>
      <w:r w:rsidR="003E3EA1" w:rsidRPr="00E67719">
        <w:rPr>
          <w:rFonts w:ascii="Arial" w:hAnsi="Arial" w:cs="Arial"/>
          <w:sz w:val="22"/>
          <w:szCs w:val="22"/>
        </w:rPr>
        <w:t>tedy v</w:t>
      </w:r>
      <w:r w:rsidR="003352F8">
        <w:rPr>
          <w:rFonts w:ascii="Arial" w:hAnsi="Arial" w:cs="Arial"/>
          <w:sz w:val="22"/>
          <w:szCs w:val="22"/>
        </w:rPr>
        <w:t> </w:t>
      </w:r>
      <w:r w:rsidR="003E3EA1" w:rsidRPr="00E67719">
        <w:rPr>
          <w:rFonts w:ascii="Arial" w:hAnsi="Arial" w:cs="Arial"/>
          <w:sz w:val="22"/>
          <w:szCs w:val="22"/>
        </w:rPr>
        <w:t>Závěrečné zprávě o realizaci</w:t>
      </w:r>
      <w:r w:rsidR="007A7B31" w:rsidRPr="00E67719">
        <w:rPr>
          <w:rFonts w:ascii="Arial" w:hAnsi="Arial" w:cs="Arial"/>
          <w:sz w:val="22"/>
          <w:szCs w:val="22"/>
        </w:rPr>
        <w:t xml:space="preserve"> projektu</w:t>
      </w:r>
      <w:r w:rsidR="00690293" w:rsidRPr="00E67719">
        <w:rPr>
          <w:rFonts w:ascii="Arial" w:hAnsi="Arial" w:cs="Arial"/>
          <w:sz w:val="22"/>
          <w:szCs w:val="22"/>
        </w:rPr>
        <w:t xml:space="preserve"> k datu ukončení realizace projektu</w:t>
      </w:r>
    </w:p>
    <w:p w14:paraId="4011E333" w14:textId="63C9AC03" w:rsidR="003E3EA1" w:rsidRPr="009A4CBD" w:rsidRDefault="003E3EA1" w:rsidP="00822000">
      <w:pPr>
        <w:spacing w:after="200" w:line="276" w:lineRule="auto"/>
        <w:jc w:val="both"/>
        <w:rPr>
          <w:rFonts w:ascii="Arial" w:hAnsi="Arial" w:cs="Arial"/>
          <w:sz w:val="22"/>
          <w:szCs w:val="22"/>
        </w:rPr>
      </w:pPr>
      <w:r w:rsidRPr="003E3EA1">
        <w:rPr>
          <w:rFonts w:ascii="Arial" w:hAnsi="Arial" w:cs="Arial"/>
          <w:sz w:val="22"/>
          <w:szCs w:val="22"/>
        </w:rPr>
        <w:t>Dosažená hodnota vykazovaná po Rozhodném datu se již váže k</w:t>
      </w:r>
      <w:r w:rsidR="008E4F0B">
        <w:rPr>
          <w:rFonts w:ascii="Arial" w:hAnsi="Arial" w:cs="Arial"/>
          <w:sz w:val="22"/>
          <w:szCs w:val="22"/>
        </w:rPr>
        <w:t xml:space="preserve"> prokázání </w:t>
      </w:r>
      <w:r w:rsidRPr="003E3EA1">
        <w:rPr>
          <w:rFonts w:ascii="Arial" w:hAnsi="Arial" w:cs="Arial"/>
          <w:sz w:val="22"/>
          <w:szCs w:val="22"/>
        </w:rPr>
        <w:t>udržování výstupu projektu a je vykazována ve Zprávách o udržitelnosti projektu</w:t>
      </w:r>
      <w:r w:rsidRPr="008E4F0B">
        <w:rPr>
          <w:rFonts w:ascii="Arial" w:hAnsi="Arial" w:cs="Arial"/>
          <w:color w:val="FF0000"/>
          <w:sz w:val="22"/>
          <w:szCs w:val="22"/>
        </w:rPr>
        <w:t xml:space="preserve"> </w:t>
      </w:r>
      <w:r w:rsidRPr="00E67719">
        <w:rPr>
          <w:rFonts w:ascii="Arial" w:hAnsi="Arial" w:cs="Arial"/>
          <w:sz w:val="22"/>
          <w:szCs w:val="22"/>
        </w:rPr>
        <w:t>pouze v případě změny výše dosažené hodnoty</w:t>
      </w:r>
      <w:r w:rsidRPr="003E3EA1">
        <w:rPr>
          <w:rFonts w:ascii="Arial" w:hAnsi="Arial" w:cs="Arial"/>
          <w:sz w:val="22"/>
          <w:szCs w:val="22"/>
        </w:rPr>
        <w:t>, a to včetně popisu, kdy a proč ke změně došlo.</w:t>
      </w:r>
    </w:p>
    <w:p w14:paraId="4A51BDF5" w14:textId="6CCCF703" w:rsidR="00D85674" w:rsidRPr="000465C4" w:rsidRDefault="00D85674" w:rsidP="00E67719">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7A3276" w:rsidRPr="009A4CBD" w14:paraId="382CF7AF" w14:textId="7AC4BD8A" w:rsidTr="00FB35D6">
        <w:trPr>
          <w:trHeight w:val="552"/>
        </w:trPr>
        <w:tc>
          <w:tcPr>
            <w:tcW w:w="4575" w:type="dxa"/>
          </w:tcPr>
          <w:p w14:paraId="02234105" w14:textId="5F77FB25" w:rsidR="007A3276" w:rsidRPr="00D003AA" w:rsidRDefault="007A3276" w:rsidP="00A82D0E">
            <w:pPr>
              <w:spacing w:before="120" w:after="120" w:line="271" w:lineRule="auto"/>
              <w:ind w:left="52"/>
              <w:jc w:val="both"/>
              <w:rPr>
                <w:rFonts w:ascii="Arial" w:hAnsi="Arial" w:cs="Arial"/>
                <w:b/>
                <w:bCs/>
                <w:sz w:val="22"/>
                <w:szCs w:val="22"/>
              </w:rPr>
            </w:pPr>
            <w:r w:rsidRPr="00D003AA">
              <w:rPr>
                <w:rFonts w:ascii="Arial" w:hAnsi="Arial" w:cs="Arial"/>
                <w:b/>
                <w:bCs/>
                <w:sz w:val="22"/>
                <w:szCs w:val="22"/>
              </w:rPr>
              <w:t>V Závěrečné zprávě</w:t>
            </w:r>
            <w:r w:rsidR="007A77B8" w:rsidRPr="00D003AA">
              <w:rPr>
                <w:rFonts w:ascii="Arial" w:hAnsi="Arial" w:cs="Arial"/>
                <w:b/>
                <w:bCs/>
                <w:sz w:val="22"/>
                <w:szCs w:val="22"/>
              </w:rPr>
              <w:t xml:space="preserve"> o realizaci projektu</w:t>
            </w:r>
            <w:r w:rsidRPr="00D003AA">
              <w:rPr>
                <w:rFonts w:ascii="Arial" w:hAnsi="Arial" w:cs="Arial"/>
                <w:b/>
                <w:bCs/>
                <w:sz w:val="22"/>
                <w:szCs w:val="22"/>
              </w:rPr>
              <w:t>:</w:t>
            </w:r>
          </w:p>
          <w:p w14:paraId="1A0B8066" w14:textId="77777777" w:rsidR="007A3276" w:rsidRPr="00D003AA" w:rsidRDefault="007A3276" w:rsidP="00A82D0E">
            <w:pPr>
              <w:pStyle w:val="Odstavecseseznamem"/>
              <w:numPr>
                <w:ilvl w:val="0"/>
                <w:numId w:val="36"/>
              </w:numPr>
              <w:spacing w:before="120" w:after="120" w:line="271" w:lineRule="auto"/>
              <w:ind w:left="694"/>
              <w:jc w:val="both"/>
              <w:rPr>
                <w:rFonts w:ascii="Arial" w:hAnsi="Arial" w:cs="Arial"/>
                <w:sz w:val="22"/>
                <w:szCs w:val="22"/>
              </w:rPr>
            </w:pPr>
            <w:r w:rsidRPr="00D003AA">
              <w:rPr>
                <w:rFonts w:ascii="Arial" w:hAnsi="Arial" w:cs="Arial"/>
                <w:sz w:val="22"/>
                <w:szCs w:val="22"/>
              </w:rPr>
              <w:t xml:space="preserve">Fotodokumentace </w:t>
            </w:r>
          </w:p>
          <w:p w14:paraId="57BF392A" w14:textId="77777777" w:rsidR="003E3EA1" w:rsidRPr="00D003AA" w:rsidRDefault="003E3EA1" w:rsidP="00A82D0E">
            <w:pPr>
              <w:pStyle w:val="Odstavecseseznamem"/>
              <w:numPr>
                <w:ilvl w:val="0"/>
                <w:numId w:val="36"/>
              </w:numPr>
              <w:spacing w:before="120" w:after="120" w:line="271" w:lineRule="auto"/>
              <w:ind w:left="694"/>
              <w:jc w:val="both"/>
              <w:rPr>
                <w:rFonts w:ascii="Arial" w:hAnsi="Arial" w:cs="Arial"/>
                <w:sz w:val="22"/>
                <w:szCs w:val="22"/>
              </w:rPr>
            </w:pPr>
            <w:r w:rsidRPr="00D003AA">
              <w:rPr>
                <w:rFonts w:ascii="Arial" w:hAnsi="Arial" w:cs="Arial"/>
                <w:sz w:val="22"/>
                <w:szCs w:val="22"/>
              </w:rPr>
              <w:t>Doklad o předání a převzetí díla</w:t>
            </w:r>
          </w:p>
          <w:p w14:paraId="6BCD25B8" w14:textId="280B3C24" w:rsidR="00663903" w:rsidRPr="00D003AA" w:rsidRDefault="003E3EA1" w:rsidP="00A82D0E">
            <w:pPr>
              <w:pStyle w:val="Odstavecseseznamem"/>
              <w:numPr>
                <w:ilvl w:val="0"/>
                <w:numId w:val="36"/>
              </w:numPr>
              <w:spacing w:before="120" w:after="120" w:line="271" w:lineRule="auto"/>
              <w:ind w:left="694"/>
              <w:jc w:val="both"/>
              <w:rPr>
                <w:rFonts w:ascii="Arial" w:hAnsi="Arial" w:cs="Arial"/>
                <w:sz w:val="22"/>
                <w:szCs w:val="22"/>
              </w:rPr>
            </w:pPr>
            <w:r w:rsidRPr="00D003AA">
              <w:rPr>
                <w:rFonts w:ascii="Arial" w:hAnsi="Arial" w:cs="Arial"/>
                <w:sz w:val="22"/>
                <w:szCs w:val="22"/>
              </w:rPr>
              <w:lastRenderedPageBreak/>
              <w:t>Kolaudační souhlas nebo kolaudační rozhodnutí nebo rozhodnutí o povolení zkušebního provozu nebo rozhodnutí o povolení k předčasnému užívání stavby</w:t>
            </w:r>
          </w:p>
        </w:tc>
        <w:tc>
          <w:tcPr>
            <w:tcW w:w="4691" w:type="dxa"/>
          </w:tcPr>
          <w:p w14:paraId="3BFA7394" w14:textId="61E2DF7C" w:rsidR="007A3276" w:rsidRPr="00D003AA" w:rsidRDefault="007A3276" w:rsidP="00A82D0E">
            <w:pPr>
              <w:spacing w:before="120" w:after="120" w:line="271" w:lineRule="auto"/>
              <w:jc w:val="both"/>
              <w:rPr>
                <w:rFonts w:ascii="Arial" w:hAnsi="Arial" w:cs="Arial"/>
                <w:b/>
                <w:bCs/>
                <w:sz w:val="22"/>
                <w:szCs w:val="22"/>
              </w:rPr>
            </w:pPr>
            <w:r w:rsidRPr="00D003AA">
              <w:rPr>
                <w:rFonts w:ascii="Arial" w:hAnsi="Arial" w:cs="Arial"/>
                <w:b/>
                <w:bCs/>
                <w:sz w:val="22"/>
                <w:szCs w:val="22"/>
              </w:rPr>
              <w:lastRenderedPageBreak/>
              <w:t xml:space="preserve">V </w:t>
            </w:r>
            <w:r w:rsidR="00291A5A" w:rsidRPr="00D003AA">
              <w:rPr>
                <w:rFonts w:ascii="Arial" w:hAnsi="Arial" w:cs="Arial"/>
                <w:b/>
                <w:bCs/>
                <w:sz w:val="22"/>
                <w:szCs w:val="22"/>
              </w:rPr>
              <w:t>1.</w:t>
            </w:r>
            <w:r w:rsidRPr="00D003AA">
              <w:rPr>
                <w:rFonts w:ascii="Arial" w:hAnsi="Arial" w:cs="Arial"/>
                <w:b/>
                <w:bCs/>
                <w:sz w:val="22"/>
                <w:szCs w:val="22"/>
              </w:rPr>
              <w:t xml:space="preserve"> Zprávě o udržitelnosti projektu:</w:t>
            </w:r>
            <w:r w:rsidRPr="00D003AA">
              <w:rPr>
                <w:rFonts w:ascii="Arial" w:hAnsi="Arial" w:cs="Arial"/>
                <w:b/>
                <w:bCs/>
                <w:sz w:val="28"/>
                <w:szCs w:val="28"/>
              </w:rPr>
              <w:t xml:space="preserve"> </w:t>
            </w:r>
          </w:p>
          <w:p w14:paraId="68A84354" w14:textId="6A0C512C" w:rsidR="007A3276" w:rsidRPr="00A82D0E" w:rsidRDefault="0038324A" w:rsidP="00A82D0E">
            <w:pPr>
              <w:pStyle w:val="Odstavecseseznamem"/>
              <w:numPr>
                <w:ilvl w:val="0"/>
                <w:numId w:val="36"/>
              </w:numPr>
              <w:spacing w:before="120" w:after="120" w:line="271" w:lineRule="auto"/>
              <w:ind w:left="694"/>
              <w:jc w:val="both"/>
              <w:rPr>
                <w:rFonts w:ascii="Arial" w:hAnsi="Arial" w:cs="Arial"/>
                <w:sz w:val="22"/>
                <w:szCs w:val="22"/>
              </w:rPr>
            </w:pPr>
            <w:r w:rsidRPr="00A82D0E">
              <w:rPr>
                <w:rFonts w:ascii="Arial" w:hAnsi="Arial" w:cs="Arial"/>
                <w:sz w:val="22"/>
                <w:szCs w:val="22"/>
              </w:rPr>
              <w:t xml:space="preserve">Kolaudační souhlas nebo kolaudační rozhodnutí, v případě že nedošlo </w:t>
            </w:r>
            <w:r w:rsidRPr="00A82D0E">
              <w:rPr>
                <w:rFonts w:ascii="Arial" w:hAnsi="Arial" w:cs="Arial"/>
                <w:sz w:val="22"/>
                <w:szCs w:val="22"/>
              </w:rPr>
              <w:lastRenderedPageBreak/>
              <w:t>k doložení při Závěrečné zprávě o realizaci projektu</w:t>
            </w:r>
          </w:p>
        </w:tc>
      </w:tr>
    </w:tbl>
    <w:p w14:paraId="4B297C5A" w14:textId="79A15803" w:rsidR="0083531C" w:rsidRPr="009A4CBD" w:rsidRDefault="008D3E30" w:rsidP="00A930DE">
      <w:pPr>
        <w:spacing w:before="120" w:after="200" w:line="276" w:lineRule="auto"/>
        <w:jc w:val="both"/>
        <w:rPr>
          <w:rFonts w:ascii="Arial" w:hAnsi="Arial" w:cs="Arial"/>
          <w:sz w:val="22"/>
          <w:szCs w:val="22"/>
        </w:rPr>
      </w:pPr>
      <w:r w:rsidRPr="009A4CBD">
        <w:rPr>
          <w:rFonts w:ascii="Arial" w:hAnsi="Arial" w:cs="Arial"/>
          <w:sz w:val="22"/>
          <w:szCs w:val="22"/>
        </w:rPr>
        <w:lastRenderedPageBreak/>
        <w:t xml:space="preserve">Je nutné </w:t>
      </w:r>
      <w:r w:rsidRPr="00D003AA">
        <w:rPr>
          <w:rFonts w:ascii="Arial" w:hAnsi="Arial" w:cs="Arial"/>
          <w:sz w:val="22"/>
          <w:szCs w:val="22"/>
        </w:rPr>
        <w:t xml:space="preserve">doložit </w:t>
      </w:r>
      <w:r w:rsidR="00690293" w:rsidRPr="00D003AA">
        <w:rPr>
          <w:rFonts w:ascii="Arial" w:hAnsi="Arial" w:cs="Arial"/>
          <w:sz w:val="22"/>
          <w:szCs w:val="22"/>
        </w:rPr>
        <w:t>relevantní</w:t>
      </w:r>
      <w:r w:rsidR="00690293">
        <w:rPr>
          <w:rFonts w:ascii="Arial" w:hAnsi="Arial" w:cs="Arial"/>
          <w:sz w:val="22"/>
          <w:szCs w:val="22"/>
        </w:rPr>
        <w:t xml:space="preserve"> </w:t>
      </w:r>
      <w:r w:rsidRPr="009A4CBD">
        <w:rPr>
          <w:rFonts w:ascii="Arial" w:hAnsi="Arial" w:cs="Arial"/>
          <w:sz w:val="22"/>
          <w:szCs w:val="22"/>
        </w:rPr>
        <w:t>uvedené dokumenty.</w:t>
      </w:r>
      <w:r w:rsidR="00441B57">
        <w:rPr>
          <w:rFonts w:ascii="Arial" w:hAnsi="Arial" w:cs="Arial"/>
          <w:sz w:val="22"/>
          <w:szCs w:val="22"/>
        </w:rPr>
        <w:t xml:space="preserve"> </w:t>
      </w:r>
      <w:r w:rsidR="008E4F0B" w:rsidRPr="008E4F0B">
        <w:rPr>
          <w:rFonts w:ascii="Arial" w:hAnsi="Arial" w:cs="Arial"/>
          <w:sz w:val="22"/>
          <w:szCs w:val="22"/>
        </w:rPr>
        <w:t xml:space="preserve">Pokud v době udržitelnosti dojde ke změnám, bude v nejbližší následující Zprávě o udržitelnosti </w:t>
      </w:r>
      <w:r w:rsidR="007A7B31">
        <w:rPr>
          <w:rFonts w:ascii="Arial" w:hAnsi="Arial" w:cs="Arial"/>
          <w:sz w:val="22"/>
          <w:szCs w:val="22"/>
        </w:rPr>
        <w:t xml:space="preserve">projektu </w:t>
      </w:r>
      <w:r w:rsidR="008E4F0B" w:rsidRPr="008E4F0B">
        <w:rPr>
          <w:rFonts w:ascii="Arial" w:hAnsi="Arial" w:cs="Arial"/>
          <w:sz w:val="22"/>
          <w:szCs w:val="22"/>
        </w:rPr>
        <w:t>vykázána aktualizovaná hodnota, včetně data, od kterého platí. Zároveň budou opětovně dodány materiály pro její ověření.</w:t>
      </w:r>
    </w:p>
    <w:p w14:paraId="3E8FE8FC" w14:textId="77E300DB" w:rsidR="007A3276" w:rsidRPr="000465C4" w:rsidRDefault="00441B57" w:rsidP="00690293">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TOLERANCE DOSAŽENÍ</w:t>
      </w:r>
      <w:r w:rsidR="00A930DE" w:rsidRPr="000465C4">
        <w:rPr>
          <w:rStyle w:val="Zdraznnintenzivn"/>
          <w:rFonts w:ascii="Arial" w:eastAsiaTheme="minorHAnsi" w:hAnsi="Arial" w:cs="Arial"/>
          <w:b/>
          <w:bCs/>
          <w:caps/>
          <w:color w:val="31849B" w:themeColor="accent5" w:themeShade="BF"/>
          <w:lang w:eastAsia="en-US"/>
        </w:rPr>
        <w:t xml:space="preserve"> </w:t>
      </w:r>
      <w:r w:rsidR="00151D2B" w:rsidRPr="000465C4">
        <w:rPr>
          <w:rStyle w:val="Zdraznnintenzivn"/>
          <w:rFonts w:ascii="Arial" w:eastAsiaTheme="minorHAnsi" w:hAnsi="Arial" w:cs="Arial"/>
          <w:b/>
          <w:bCs/>
          <w:caps/>
          <w:color w:val="31849B" w:themeColor="accent5" w:themeShade="BF"/>
          <w:lang w:eastAsia="en-US"/>
        </w:rPr>
        <w:t xml:space="preserve">a udržení </w:t>
      </w:r>
      <w:r w:rsidR="00107F75" w:rsidRPr="000465C4">
        <w:rPr>
          <w:rStyle w:val="Zdraznnintenzivn"/>
          <w:rFonts w:ascii="Arial" w:eastAsiaTheme="minorHAnsi" w:hAnsi="Arial" w:cs="Arial"/>
          <w:b/>
          <w:bCs/>
          <w:caps/>
          <w:color w:val="31849B" w:themeColor="accent5" w:themeShade="BF"/>
          <w:lang w:eastAsia="en-US"/>
        </w:rPr>
        <w:t>indikátoru</w:t>
      </w:r>
      <w:r w:rsidR="008A2193" w:rsidRPr="000465C4">
        <w:rPr>
          <w:rStyle w:val="Zdraznnintenzivn"/>
          <w:rFonts w:ascii="Arial" w:eastAsiaTheme="minorHAnsi" w:hAnsi="Arial" w:cs="Arial"/>
          <w:b/>
          <w:bCs/>
          <w:caps/>
          <w:color w:val="31849B" w:themeColor="accent5" w:themeShade="BF"/>
          <w:lang w:eastAsia="en-US"/>
        </w:rPr>
        <w:t xml:space="preserve"> </w:t>
      </w:r>
    </w:p>
    <w:p w14:paraId="592483EB" w14:textId="3D2F1D40" w:rsidR="00441B57" w:rsidRPr="004B3A19" w:rsidRDefault="00A82D0E" w:rsidP="00822000">
      <w:pPr>
        <w:spacing w:after="200" w:line="276" w:lineRule="auto"/>
        <w:jc w:val="both"/>
        <w:rPr>
          <w:rFonts w:ascii="Arial" w:hAnsi="Arial" w:cs="Arial"/>
          <w:sz w:val="22"/>
          <w:szCs w:val="22"/>
        </w:rPr>
      </w:pPr>
      <w:r w:rsidRPr="000258DE">
        <w:rPr>
          <w:rFonts w:ascii="Arial" w:hAnsi="Arial" w:cs="Arial"/>
          <w:sz w:val="22"/>
          <w:szCs w:val="22"/>
        </w:rPr>
        <w:t>Není stanoveno žádné toleranční pásmo</w:t>
      </w:r>
      <w:r>
        <w:rPr>
          <w:rFonts w:ascii="Arial" w:hAnsi="Arial" w:cs="Arial"/>
          <w:sz w:val="22"/>
          <w:szCs w:val="22"/>
        </w:rPr>
        <w:t>,</w:t>
      </w:r>
      <w:r w:rsidR="0084772A" w:rsidRPr="00E67719">
        <w:rPr>
          <w:rFonts w:ascii="Arial" w:hAnsi="Arial" w:cs="Arial"/>
          <w:sz w:val="22"/>
          <w:szCs w:val="22"/>
        </w:rPr>
        <w:t xml:space="preserve"> </w:t>
      </w:r>
      <w:r>
        <w:rPr>
          <w:rFonts w:ascii="Arial" w:hAnsi="Arial" w:cs="Arial"/>
          <w:sz w:val="22"/>
          <w:szCs w:val="22"/>
        </w:rPr>
        <w:t>p</w:t>
      </w:r>
      <w:r w:rsidR="008A2193" w:rsidRPr="00E67719">
        <w:rPr>
          <w:rFonts w:ascii="Arial" w:hAnsi="Arial" w:cs="Arial"/>
          <w:sz w:val="22"/>
          <w:szCs w:val="22"/>
        </w:rPr>
        <w:t>okud není dosažena cílová hodnota</w:t>
      </w:r>
      <w:r w:rsidR="00E71619" w:rsidRPr="00E67719">
        <w:rPr>
          <w:rFonts w:ascii="Arial" w:hAnsi="Arial" w:cs="Arial"/>
          <w:sz w:val="22"/>
          <w:szCs w:val="22"/>
        </w:rPr>
        <w:t xml:space="preserve">, bude postupováno </w:t>
      </w:r>
      <w:r w:rsidR="001E60CB" w:rsidRPr="00E67719">
        <w:rPr>
          <w:rFonts w:ascii="Arial" w:hAnsi="Arial" w:cs="Arial"/>
          <w:sz w:val="22"/>
          <w:szCs w:val="22"/>
        </w:rPr>
        <w:t>po</w:t>
      </w:r>
      <w:r w:rsidR="00E71619">
        <w:rPr>
          <w:rFonts w:ascii="Arial" w:hAnsi="Arial" w:cs="Arial"/>
          <w:sz w:val="22"/>
          <w:szCs w:val="22"/>
        </w:rPr>
        <w:t xml:space="preserve">dle </w:t>
      </w:r>
      <w:r w:rsidR="00E71619" w:rsidRPr="004B3A19">
        <w:rPr>
          <w:rFonts w:ascii="Arial" w:hAnsi="Arial" w:cs="Arial"/>
          <w:sz w:val="22"/>
          <w:szCs w:val="22"/>
        </w:rPr>
        <w:t xml:space="preserve">Podmínek Právního </w:t>
      </w:r>
      <w:r w:rsidR="00E71619" w:rsidRPr="002B59B8">
        <w:rPr>
          <w:rFonts w:ascii="Arial" w:hAnsi="Arial" w:cs="Arial"/>
          <w:sz w:val="22"/>
          <w:szCs w:val="22"/>
        </w:rPr>
        <w:t>aktu / Rozhodnutí</w:t>
      </w:r>
      <w:r w:rsidR="008A2193" w:rsidRPr="004B3A19">
        <w:rPr>
          <w:rFonts w:ascii="Arial" w:hAnsi="Arial" w:cs="Arial"/>
          <w:sz w:val="22"/>
          <w:szCs w:val="22"/>
        </w:rPr>
        <w:t xml:space="preserve">. </w:t>
      </w:r>
      <w:r w:rsidR="00AF3D0A" w:rsidRPr="004B3A19">
        <w:rPr>
          <w:rFonts w:ascii="Arial" w:hAnsi="Arial" w:cs="Arial"/>
          <w:sz w:val="22"/>
          <w:szCs w:val="22"/>
        </w:rPr>
        <w:t>Překročení stanovené cílové hodnoty není sankcionováno.</w:t>
      </w:r>
    </w:p>
    <w:p w14:paraId="4B73D90F" w14:textId="62EC468D" w:rsidR="00AF3D0A" w:rsidRPr="004B3A19" w:rsidRDefault="00AF3D0A" w:rsidP="00822000">
      <w:pPr>
        <w:spacing w:after="200" w:line="276" w:lineRule="auto"/>
        <w:jc w:val="both"/>
        <w:rPr>
          <w:rFonts w:ascii="Arial" w:hAnsi="Arial" w:cs="Arial"/>
          <w:sz w:val="22"/>
          <w:szCs w:val="22"/>
        </w:rPr>
      </w:pPr>
      <w:r w:rsidRPr="004B3A19">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w:t>
      </w:r>
      <w:r w:rsidR="0064281D" w:rsidRPr="004B3A19">
        <w:rPr>
          <w:rFonts w:ascii="Arial" w:hAnsi="Arial" w:cs="Arial"/>
          <w:sz w:val="22"/>
          <w:szCs w:val="22"/>
        </w:rPr>
        <w:t>s</w:t>
      </w:r>
      <w:r w:rsidRPr="004B3A19">
        <w:rPr>
          <w:rFonts w:ascii="Arial" w:hAnsi="Arial" w:cs="Arial"/>
          <w:sz w:val="22"/>
          <w:szCs w:val="22"/>
        </w:rPr>
        <w:t xml:space="preserve">nížením přímých výdajů projektu vážících se na daný výstup. V takovém případě bude možné tuto žádost </w:t>
      </w:r>
      <w:r w:rsidR="006A4A02" w:rsidRPr="004B3A19">
        <w:rPr>
          <w:rFonts w:ascii="Arial" w:hAnsi="Arial" w:cs="Arial"/>
          <w:sz w:val="22"/>
          <w:szCs w:val="22"/>
        </w:rPr>
        <w:t>posoudit, a</w:t>
      </w:r>
      <w:r w:rsidRPr="004B3A19">
        <w:rPr>
          <w:rFonts w:ascii="Arial" w:hAnsi="Arial" w:cs="Arial"/>
          <w:sz w:val="22"/>
          <w:szCs w:val="22"/>
        </w:rPr>
        <w:t xml:space="preserve"> rozhodnout, zda lze cílovou hodnotu snížit. </w:t>
      </w:r>
    </w:p>
    <w:p w14:paraId="38AA3078" w14:textId="3A7B6C03" w:rsidR="00151D2B" w:rsidRPr="004B3A19" w:rsidRDefault="00690293" w:rsidP="00822000">
      <w:pPr>
        <w:spacing w:after="200" w:line="276" w:lineRule="auto"/>
        <w:jc w:val="both"/>
        <w:rPr>
          <w:rFonts w:ascii="Arial" w:hAnsi="Arial" w:cs="Arial"/>
          <w:sz w:val="22"/>
          <w:szCs w:val="22"/>
        </w:rPr>
      </w:pPr>
      <w:r w:rsidRPr="004B3A19">
        <w:rPr>
          <w:rFonts w:ascii="Arial" w:hAnsi="Arial" w:cs="Arial"/>
          <w:sz w:val="22"/>
          <w:szCs w:val="22"/>
        </w:rPr>
        <w:t>Když</w:t>
      </w:r>
      <w:r w:rsidR="00FE118B" w:rsidRPr="004B3A19">
        <w:rPr>
          <w:rFonts w:ascii="Arial" w:hAnsi="Arial" w:cs="Arial"/>
          <w:sz w:val="22"/>
          <w:szCs w:val="22"/>
        </w:rPr>
        <w:t xml:space="preserve"> tak příjemce neučiní</w:t>
      </w:r>
      <w:r w:rsidRPr="004B3A19">
        <w:rPr>
          <w:rFonts w:ascii="Arial" w:hAnsi="Arial" w:cs="Arial"/>
          <w:sz w:val="22"/>
          <w:szCs w:val="22"/>
        </w:rPr>
        <w:t>,</w:t>
      </w:r>
      <w:r w:rsidR="00145671" w:rsidRPr="004B3A19">
        <w:rPr>
          <w:rFonts w:ascii="Arial" w:hAnsi="Arial" w:cs="Arial"/>
          <w:sz w:val="22"/>
          <w:szCs w:val="22"/>
        </w:rPr>
        <w:t xml:space="preserve"> zůstává cílová hodnota platná v nezměněné výši,</w:t>
      </w:r>
      <w:r w:rsidR="00FE118B" w:rsidRPr="004B3A19">
        <w:rPr>
          <w:rFonts w:ascii="Arial" w:hAnsi="Arial" w:cs="Arial"/>
          <w:sz w:val="22"/>
          <w:szCs w:val="22"/>
        </w:rPr>
        <w:t xml:space="preserve"> </w:t>
      </w:r>
      <w:r w:rsidRPr="004B3A19">
        <w:rPr>
          <w:rFonts w:ascii="Arial" w:hAnsi="Arial" w:cs="Arial"/>
          <w:sz w:val="22"/>
          <w:szCs w:val="22"/>
        </w:rPr>
        <w:t xml:space="preserve">a </w:t>
      </w:r>
      <w:r w:rsidR="00145671" w:rsidRPr="004B3A19">
        <w:rPr>
          <w:rFonts w:ascii="Arial" w:hAnsi="Arial" w:cs="Arial"/>
          <w:sz w:val="22"/>
          <w:szCs w:val="22"/>
        </w:rPr>
        <w:t xml:space="preserve">pokud </w:t>
      </w:r>
      <w:r w:rsidR="00663903" w:rsidRPr="004B3A19">
        <w:rPr>
          <w:rFonts w:ascii="Arial" w:hAnsi="Arial" w:cs="Arial"/>
          <w:sz w:val="22"/>
          <w:szCs w:val="22"/>
        </w:rPr>
        <w:t xml:space="preserve">bude </w:t>
      </w:r>
      <w:r w:rsidR="00FE118B" w:rsidRPr="004B3A19">
        <w:rPr>
          <w:rFonts w:ascii="Arial" w:hAnsi="Arial" w:cs="Arial"/>
          <w:sz w:val="22"/>
          <w:szCs w:val="22"/>
        </w:rPr>
        <w:t>vykázaná</w:t>
      </w:r>
      <w:r w:rsidR="008E0493" w:rsidRPr="004B3A19">
        <w:rPr>
          <w:rFonts w:ascii="Arial" w:hAnsi="Arial" w:cs="Arial"/>
          <w:sz w:val="22"/>
          <w:szCs w:val="22"/>
        </w:rPr>
        <w:t xml:space="preserve"> dosažená</w:t>
      </w:r>
      <w:r w:rsidR="00FE118B" w:rsidRPr="004B3A19">
        <w:rPr>
          <w:rFonts w:ascii="Arial" w:hAnsi="Arial" w:cs="Arial"/>
          <w:sz w:val="22"/>
          <w:szCs w:val="22"/>
        </w:rPr>
        <w:t xml:space="preserve"> hodnota </w:t>
      </w:r>
      <w:r w:rsidR="00663903" w:rsidRPr="004B3A19">
        <w:rPr>
          <w:rFonts w:ascii="Arial" w:hAnsi="Arial" w:cs="Arial"/>
          <w:sz w:val="22"/>
          <w:szCs w:val="22"/>
        </w:rPr>
        <w:t xml:space="preserve">k Rozhodnému datu </w:t>
      </w:r>
      <w:r w:rsidR="00AD6B07">
        <w:rPr>
          <w:rFonts w:ascii="Arial" w:hAnsi="Arial" w:cs="Arial"/>
          <w:sz w:val="22"/>
          <w:szCs w:val="22"/>
        </w:rPr>
        <w:t>nižší než hodnota cílová</w:t>
      </w:r>
      <w:r w:rsidR="00FE118B" w:rsidRPr="004B3A19">
        <w:rPr>
          <w:rFonts w:ascii="Arial" w:hAnsi="Arial" w:cs="Arial"/>
          <w:sz w:val="22"/>
          <w:szCs w:val="22"/>
        </w:rPr>
        <w:t>, bude postupováno dle Podmínek Právního aktu / Rozhodnutí, které</w:t>
      </w:r>
      <w:r w:rsidR="007A7B31" w:rsidRPr="004B3A19">
        <w:rPr>
          <w:rFonts w:ascii="Arial" w:hAnsi="Arial" w:cs="Arial"/>
          <w:sz w:val="22"/>
          <w:szCs w:val="22"/>
        </w:rPr>
        <w:t xml:space="preserve"> </w:t>
      </w:r>
      <w:bookmarkStart w:id="6" w:name="_Hlk111187438"/>
      <w:r w:rsidR="007A7B31" w:rsidRPr="004B3A19">
        <w:rPr>
          <w:rFonts w:ascii="Arial" w:hAnsi="Arial" w:cs="Arial"/>
          <w:sz w:val="22"/>
          <w:szCs w:val="22"/>
        </w:rPr>
        <w:t>stanoví</w:t>
      </w:r>
      <w:bookmarkEnd w:id="6"/>
      <w:r w:rsidR="00FE118B" w:rsidRPr="004B3A19">
        <w:rPr>
          <w:rFonts w:ascii="Arial" w:hAnsi="Arial" w:cs="Arial"/>
          <w:sz w:val="22"/>
          <w:szCs w:val="22"/>
        </w:rPr>
        <w:t xml:space="preserve"> konkrétní výš</w:t>
      </w:r>
      <w:r w:rsidR="007A7B31" w:rsidRPr="004B3A19">
        <w:rPr>
          <w:rFonts w:ascii="Arial" w:hAnsi="Arial" w:cs="Arial"/>
          <w:sz w:val="22"/>
          <w:szCs w:val="22"/>
        </w:rPr>
        <w:t>i</w:t>
      </w:r>
      <w:r w:rsidR="00FE118B" w:rsidRPr="004B3A19">
        <w:rPr>
          <w:rFonts w:ascii="Arial" w:hAnsi="Arial" w:cs="Arial"/>
          <w:sz w:val="22"/>
          <w:szCs w:val="22"/>
        </w:rPr>
        <w:t xml:space="preserve"> a typ sankce aplikované při nenaplnění cílové hodnoty indikátoru.</w:t>
      </w:r>
    </w:p>
    <w:p w14:paraId="398F5330" w14:textId="28A1B7BF" w:rsidR="00AF3D0A" w:rsidRDefault="00AF3D0A" w:rsidP="00822000">
      <w:pPr>
        <w:spacing w:after="200" w:line="276" w:lineRule="auto"/>
        <w:jc w:val="both"/>
        <w:rPr>
          <w:rFonts w:ascii="Arial" w:hAnsi="Arial" w:cs="Arial"/>
          <w:sz w:val="22"/>
          <w:szCs w:val="22"/>
        </w:rPr>
      </w:pPr>
      <w:r w:rsidRPr="004B3A19">
        <w:rPr>
          <w:rFonts w:ascii="Arial" w:hAnsi="Arial" w:cs="Arial"/>
          <w:sz w:val="22"/>
          <w:szCs w:val="22"/>
        </w:rPr>
        <w:t xml:space="preserve">V době udržitelnosti již </w:t>
      </w:r>
      <w:r w:rsidRPr="004B3A19">
        <w:rPr>
          <w:rFonts w:ascii="Arial" w:hAnsi="Arial" w:cs="Arial"/>
          <w:b/>
          <w:bCs/>
          <w:sz w:val="22"/>
          <w:szCs w:val="22"/>
          <w:u w:val="single"/>
        </w:rPr>
        <w:t>nelze cílovou hodnotu upravit</w:t>
      </w:r>
      <w:r w:rsidRPr="004B3A19">
        <w:rPr>
          <w:rFonts w:ascii="Arial" w:hAnsi="Arial" w:cs="Arial"/>
          <w:sz w:val="22"/>
          <w:szCs w:val="22"/>
        </w:rPr>
        <w:t xml:space="preserve"> a zůstává zafixovaná ve výši platné k</w:t>
      </w:r>
      <w:r w:rsidR="00371437" w:rsidRPr="004B3A19">
        <w:rPr>
          <w:rFonts w:ascii="Arial" w:hAnsi="Arial" w:cs="Arial"/>
          <w:sz w:val="22"/>
          <w:szCs w:val="22"/>
        </w:rPr>
        <w:t> datu skutečného ukončení realizace projektu</w:t>
      </w:r>
      <w:r w:rsidR="00D27F55" w:rsidRPr="004B3A19">
        <w:rPr>
          <w:rFonts w:ascii="Arial" w:hAnsi="Arial" w:cs="Arial"/>
          <w:sz w:val="22"/>
          <w:szCs w:val="22"/>
        </w:rPr>
        <w:t>.</w:t>
      </w:r>
      <w:r w:rsidRPr="004B3A19">
        <w:rPr>
          <w:rFonts w:ascii="Arial" w:hAnsi="Arial" w:cs="Arial"/>
          <w:sz w:val="22"/>
          <w:szCs w:val="22"/>
        </w:rPr>
        <w:t xml:space="preserve"> Pokud bude </w:t>
      </w:r>
      <w:r w:rsidR="00663903" w:rsidRPr="004B3A19">
        <w:rPr>
          <w:rFonts w:ascii="Arial" w:hAnsi="Arial" w:cs="Arial"/>
          <w:sz w:val="22"/>
          <w:szCs w:val="22"/>
        </w:rPr>
        <w:t xml:space="preserve">(po Rozhodném datu) </w:t>
      </w:r>
      <w:r w:rsidRPr="004B3A19">
        <w:rPr>
          <w:rFonts w:ascii="Arial" w:hAnsi="Arial" w:cs="Arial"/>
          <w:sz w:val="22"/>
          <w:szCs w:val="22"/>
        </w:rPr>
        <w:t xml:space="preserve">v období udržitelnosti vykázaná dosažená hodnota </w:t>
      </w:r>
      <w:r w:rsidR="00AD6B07">
        <w:rPr>
          <w:rFonts w:ascii="Arial" w:hAnsi="Arial" w:cs="Arial"/>
          <w:sz w:val="22"/>
          <w:szCs w:val="22"/>
        </w:rPr>
        <w:t>nižší než dosažená hodnota k Rozhodnému datu</w:t>
      </w:r>
      <w:r w:rsidRPr="004B3A19">
        <w:rPr>
          <w:rFonts w:ascii="Arial" w:hAnsi="Arial" w:cs="Arial"/>
          <w:sz w:val="22"/>
          <w:szCs w:val="22"/>
        </w:rPr>
        <w:t>, bude postupováno dle Podmínek Právního aktu / Rozhodnutí, které stanoví konkrétní výš</w:t>
      </w:r>
      <w:r w:rsidR="00FD131B">
        <w:rPr>
          <w:rFonts w:ascii="Arial" w:hAnsi="Arial" w:cs="Arial"/>
          <w:sz w:val="22"/>
          <w:szCs w:val="22"/>
        </w:rPr>
        <w:t>i</w:t>
      </w:r>
      <w:r w:rsidRPr="004B3A19">
        <w:rPr>
          <w:rFonts w:ascii="Arial" w:hAnsi="Arial" w:cs="Arial"/>
          <w:sz w:val="22"/>
          <w:szCs w:val="22"/>
        </w:rPr>
        <w:t xml:space="preserve"> a typ sankce aplikované při ne</w:t>
      </w:r>
      <w:r w:rsidR="00291A5A" w:rsidRPr="004B3A19">
        <w:rPr>
          <w:rFonts w:ascii="Arial" w:hAnsi="Arial" w:cs="Arial"/>
          <w:sz w:val="22"/>
          <w:szCs w:val="22"/>
        </w:rPr>
        <w:t>udržení</w:t>
      </w:r>
      <w:r w:rsidRPr="004B3A19">
        <w:rPr>
          <w:rFonts w:ascii="Arial" w:hAnsi="Arial" w:cs="Arial"/>
          <w:sz w:val="22"/>
          <w:szCs w:val="22"/>
        </w:rPr>
        <w:t xml:space="preserve"> cílové hodnoty indikátoru a to poměrově, vztaženo </w:t>
      </w:r>
      <w:r w:rsidRPr="00AF3D0A">
        <w:rPr>
          <w:rFonts w:ascii="Arial" w:hAnsi="Arial" w:cs="Arial"/>
          <w:sz w:val="22"/>
          <w:szCs w:val="22"/>
        </w:rPr>
        <w:t>k délce období udržitelnosti, době neplnění a výši neplnění.</w:t>
      </w:r>
    </w:p>
    <w:p w14:paraId="22EE9457" w14:textId="77777777" w:rsidR="00906B27" w:rsidRDefault="00906B27">
      <w:pPr>
        <w:spacing w:after="200" w:line="276" w:lineRule="auto"/>
        <w:rPr>
          <w:rStyle w:val="Zdraznnintenzivn"/>
          <w:rFonts w:ascii="Arial" w:eastAsiaTheme="minorHAnsi" w:hAnsi="Arial" w:cs="Arial"/>
          <w:i w:val="0"/>
          <w:iCs w:val="0"/>
          <w:caps/>
          <w:color w:val="31849B" w:themeColor="accent5" w:themeShade="BF"/>
          <w:highlight w:val="yellow"/>
          <w:lang w:eastAsia="en-US"/>
        </w:rPr>
      </w:pPr>
      <w:r>
        <w:rPr>
          <w:rStyle w:val="Zdraznnintenzivn"/>
          <w:rFonts w:ascii="Arial" w:eastAsiaTheme="minorHAnsi" w:hAnsi="Arial" w:cs="Arial"/>
          <w:i w:val="0"/>
          <w:iCs w:val="0"/>
          <w:caps/>
          <w:color w:val="31849B" w:themeColor="accent5" w:themeShade="BF"/>
          <w:highlight w:val="yellow"/>
          <w:lang w:eastAsia="en-US"/>
        </w:rPr>
        <w:br w:type="page"/>
      </w:r>
    </w:p>
    <w:tbl>
      <w:tblPr>
        <w:tblpPr w:leftFromText="141" w:rightFromText="141" w:vertAnchor="text" w:horzAnchor="margin" w:tblpY="202"/>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906B27" w:rsidRPr="00906B27" w14:paraId="740CEDBC" w14:textId="77777777" w:rsidTr="00906B27">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31786D7C" w14:textId="77777777" w:rsidR="00906B27" w:rsidRPr="00906B27" w:rsidRDefault="00906B27" w:rsidP="00906B27">
            <w:pPr>
              <w:spacing w:line="276" w:lineRule="auto"/>
              <w:ind w:left="170" w:right="170"/>
              <w:jc w:val="center"/>
              <w:rPr>
                <w:rFonts w:ascii="Arial" w:eastAsiaTheme="minorHAnsi" w:hAnsi="Arial" w:cs="Arial"/>
                <w:b/>
                <w:bCs/>
                <w:color w:val="000000"/>
                <w:lang w:eastAsia="en-US"/>
              </w:rPr>
            </w:pPr>
            <w:r w:rsidRPr="00906B27">
              <w:rPr>
                <w:rFonts w:ascii="Arial" w:eastAsiaTheme="minorHAnsi" w:hAnsi="Arial" w:cs="Arial"/>
                <w:b/>
                <w:bCs/>
                <w:color w:val="000000"/>
                <w:lang w:eastAsia="en-US"/>
              </w:rPr>
              <w:lastRenderedPageBreak/>
              <w:t>METODICKÝ LIST INDIKÁTORU</w:t>
            </w:r>
          </w:p>
        </w:tc>
      </w:tr>
      <w:tr w:rsidR="00906B27" w:rsidRPr="00906B27" w14:paraId="6DAA4423" w14:textId="77777777" w:rsidTr="00906B27">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92E46" w14:textId="77777777" w:rsidR="00906B27" w:rsidRPr="00906B27" w:rsidRDefault="00906B27" w:rsidP="00906B27">
            <w:pPr>
              <w:spacing w:before="80" w:after="80" w:line="276" w:lineRule="auto"/>
              <w:ind w:left="57" w:right="57"/>
              <w:jc w:val="center"/>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0F957" w14:textId="77777777" w:rsidR="00906B27" w:rsidRPr="00906B27" w:rsidRDefault="00906B27" w:rsidP="00906B27">
            <w:pPr>
              <w:spacing w:before="80" w:after="80" w:line="276" w:lineRule="auto"/>
              <w:ind w:right="170"/>
              <w:jc w:val="center"/>
              <w:rPr>
                <w:rFonts w:ascii="Arial" w:eastAsiaTheme="minorHAnsi" w:hAnsi="Arial" w:cs="Arial"/>
                <w:b/>
                <w:bCs/>
                <w:color w:val="000000"/>
                <w:lang w:eastAsia="en-US"/>
              </w:rPr>
            </w:pPr>
            <w:r w:rsidRPr="00906B27">
              <w:rPr>
                <w:rFonts w:ascii="Arial" w:eastAsiaTheme="minorHAnsi" w:hAnsi="Arial" w:cs="Arial"/>
                <w:b/>
                <w:bCs/>
                <w:color w:val="000000"/>
                <w:lang w:eastAsia="en-US"/>
              </w:rPr>
              <w:t>554 301 - Nová kapacita podpořených zařízení nepobytových sociálních služeb</w:t>
            </w:r>
          </w:p>
        </w:tc>
      </w:tr>
      <w:tr w:rsidR="00906B27" w:rsidRPr="00906B27" w14:paraId="133ECEAA" w14:textId="77777777" w:rsidTr="00906B27">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3804E222" w14:textId="77777777" w:rsidR="00906B27" w:rsidRPr="00906B27" w:rsidRDefault="00906B27" w:rsidP="00906B27">
            <w:pPr>
              <w:spacing w:line="276" w:lineRule="auto"/>
              <w:ind w:left="57" w:right="57"/>
              <w:jc w:val="center"/>
              <w:outlineLvl w:val="0"/>
              <w:rPr>
                <w:rFonts w:ascii="Arial" w:eastAsiaTheme="minorHAnsi" w:hAnsi="Arial" w:cs="Arial"/>
                <w:b/>
                <w:bCs/>
                <w:caps/>
                <w:color w:val="000000"/>
                <w:lang w:eastAsia="en-US"/>
              </w:rPr>
            </w:pPr>
            <w:r w:rsidRPr="00906B27">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2E641017"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4FC9FEBF"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Typ indikátoru</w:t>
            </w:r>
          </w:p>
        </w:tc>
      </w:tr>
      <w:tr w:rsidR="00906B27" w:rsidRPr="00906B27" w14:paraId="5F2EF0EE" w14:textId="77777777" w:rsidTr="00906B27">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B8B0B19" w14:textId="40076812"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 xml:space="preserve">IROP </w:t>
            </w:r>
            <w:r w:rsidR="00D75F24">
              <w:rPr>
                <w:rFonts w:ascii="Arial" w:eastAsiaTheme="minorHAnsi" w:hAnsi="Arial" w:cs="Arial"/>
                <w:b/>
                <w:bCs/>
                <w:color w:val="000000"/>
                <w:sz w:val="22"/>
                <w:szCs w:val="22"/>
                <w:lang w:eastAsia="en-US"/>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5035B8E4"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lang w:eastAsia="en-US"/>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802D194"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výstup</w:t>
            </w:r>
          </w:p>
        </w:tc>
      </w:tr>
    </w:tbl>
    <w:p w14:paraId="127336DB" w14:textId="77777777" w:rsidR="00906B27" w:rsidRPr="00906B27" w:rsidRDefault="00906B27" w:rsidP="00906B27">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 xml:space="preserve">Definice indikátoru </w:t>
      </w:r>
    </w:p>
    <w:p w14:paraId="690C18C5" w14:textId="7DC84EDE" w:rsidR="00906B27" w:rsidRPr="00906B27" w:rsidRDefault="00E45645" w:rsidP="00906B27">
      <w:pPr>
        <w:spacing w:after="200" w:line="276" w:lineRule="auto"/>
        <w:jc w:val="both"/>
        <w:rPr>
          <w:rFonts w:ascii="Arial" w:hAnsi="Arial" w:cs="Arial"/>
          <w:sz w:val="22"/>
          <w:szCs w:val="22"/>
        </w:rPr>
      </w:pPr>
      <w:r w:rsidRPr="00E45645">
        <w:rPr>
          <w:rFonts w:ascii="Arial" w:hAnsi="Arial" w:cs="Arial"/>
          <w:sz w:val="22"/>
          <w:szCs w:val="22"/>
        </w:rPr>
        <w:t xml:space="preserve">Indikátor </w:t>
      </w:r>
      <w:proofErr w:type="gramStart"/>
      <w:r w:rsidRPr="00E45645">
        <w:rPr>
          <w:rFonts w:ascii="Arial" w:hAnsi="Arial" w:cs="Arial"/>
          <w:sz w:val="22"/>
          <w:szCs w:val="22"/>
        </w:rPr>
        <w:t>měří</w:t>
      </w:r>
      <w:proofErr w:type="gramEnd"/>
      <w:r w:rsidRPr="00E45645">
        <w:rPr>
          <w:rFonts w:ascii="Arial" w:hAnsi="Arial" w:cs="Arial"/>
          <w:sz w:val="22"/>
          <w:szCs w:val="22"/>
        </w:rPr>
        <w:t xml:space="preserve"> </w:t>
      </w:r>
      <w:r w:rsidRPr="00E45645">
        <w:rPr>
          <w:rFonts w:ascii="Arial" w:hAnsi="Arial" w:cs="Arial"/>
          <w:b/>
          <w:bCs/>
          <w:sz w:val="22"/>
          <w:szCs w:val="22"/>
        </w:rPr>
        <w:t>nově vytvořenou kapacitu nepobytových</w:t>
      </w:r>
      <w:r w:rsidRPr="00E45645">
        <w:rPr>
          <w:rFonts w:ascii="Arial" w:hAnsi="Arial" w:cs="Arial"/>
          <w:sz w:val="22"/>
          <w:szCs w:val="22"/>
        </w:rPr>
        <w:t xml:space="preserve"> sociálních služeb. Kapacita je vyjádřena jako maximální odhadovaný počet osob, které je zařízení schopno nově obsloužit nebo se o ně starat alespoň jednou po dobu jednoho roku. Do indikátoru se nezapočítává kapacita v nemocničních zařízeních, dále kapacita, kterou lze považovat za bydlení či ubytování osob, ani kapacita péče o děti ve vzdělávacích centrech.</w:t>
      </w:r>
    </w:p>
    <w:p w14:paraId="101F2AAA" w14:textId="77777777" w:rsidR="00906B27" w:rsidRPr="00906B27" w:rsidRDefault="00906B27" w:rsidP="00906B27">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Upřesňující informace</w:t>
      </w:r>
    </w:p>
    <w:p w14:paraId="16B48138" w14:textId="31DDF55E" w:rsidR="00906B27" w:rsidRPr="00906B27" w:rsidRDefault="00906B27" w:rsidP="00A82D0E">
      <w:pPr>
        <w:spacing w:after="240" w:line="271" w:lineRule="auto"/>
        <w:jc w:val="both"/>
        <w:rPr>
          <w:rFonts w:ascii="Arial" w:hAnsi="Arial" w:cs="Arial"/>
          <w:sz w:val="22"/>
          <w:szCs w:val="22"/>
        </w:rPr>
      </w:pPr>
      <w:r w:rsidRPr="00E45645">
        <w:rPr>
          <w:rFonts w:ascii="Arial" w:hAnsi="Arial" w:cs="Arial"/>
          <w:sz w:val="22"/>
          <w:szCs w:val="22"/>
        </w:rPr>
        <w:t xml:space="preserve">Indikátor je povinný k výběru a naplnění pro </w:t>
      </w:r>
      <w:r w:rsidR="00E45645" w:rsidRPr="00E45645">
        <w:rPr>
          <w:rFonts w:ascii="Arial" w:hAnsi="Arial" w:cs="Arial"/>
          <w:sz w:val="22"/>
          <w:szCs w:val="22"/>
        </w:rPr>
        <w:t xml:space="preserve">projekty, které vytvářejí </w:t>
      </w:r>
      <w:r w:rsidR="00E45645" w:rsidRPr="00E45645">
        <w:rPr>
          <w:rFonts w:ascii="Arial" w:hAnsi="Arial" w:cs="Arial"/>
          <w:sz w:val="22"/>
          <w:szCs w:val="22"/>
          <w:u w:val="single"/>
        </w:rPr>
        <w:t>novou kapacitu nepobytových (tedy ambulantních či terénních) sociálních služeb</w:t>
      </w:r>
      <w:r w:rsidR="00E45645" w:rsidRPr="00E45645">
        <w:rPr>
          <w:rFonts w:ascii="Arial" w:hAnsi="Arial" w:cs="Arial"/>
          <w:sz w:val="22"/>
          <w:szCs w:val="22"/>
        </w:rPr>
        <w:t>.</w:t>
      </w:r>
      <w:r w:rsidR="00E45645">
        <w:rPr>
          <w:rFonts w:ascii="Arial" w:hAnsi="Arial" w:cs="Arial"/>
          <w:sz w:val="22"/>
          <w:szCs w:val="22"/>
        </w:rPr>
        <w:t xml:space="preserve"> Stávající kapacita </w:t>
      </w:r>
      <w:r w:rsidR="00E45645" w:rsidRPr="00E45645">
        <w:rPr>
          <w:rFonts w:ascii="Arial" w:hAnsi="Arial" w:cs="Arial"/>
          <w:sz w:val="22"/>
          <w:szCs w:val="22"/>
        </w:rPr>
        <w:t>(existující před realizací projektu</w:t>
      </w:r>
      <w:r w:rsidR="00E45645">
        <w:rPr>
          <w:rFonts w:ascii="Arial" w:hAnsi="Arial" w:cs="Arial"/>
          <w:sz w:val="22"/>
          <w:szCs w:val="22"/>
        </w:rPr>
        <w:t xml:space="preserve">), která je projektem dotčena je vykazována v indikátoru </w:t>
      </w:r>
      <w:r w:rsidR="00E45645" w:rsidRPr="00E45645">
        <w:rPr>
          <w:rFonts w:ascii="Arial" w:hAnsi="Arial" w:cs="Arial"/>
          <w:sz w:val="22"/>
          <w:szCs w:val="22"/>
        </w:rPr>
        <w:t>554</w:t>
      </w:r>
      <w:r w:rsidR="00E45645">
        <w:rPr>
          <w:rFonts w:ascii="Arial" w:hAnsi="Arial" w:cs="Arial"/>
          <w:sz w:val="22"/>
          <w:szCs w:val="22"/>
        </w:rPr>
        <w:t> </w:t>
      </w:r>
      <w:r w:rsidR="00E45645" w:rsidRPr="00E45645">
        <w:rPr>
          <w:rFonts w:ascii="Arial" w:hAnsi="Arial" w:cs="Arial"/>
          <w:sz w:val="22"/>
          <w:szCs w:val="22"/>
        </w:rPr>
        <w:t>401</w:t>
      </w:r>
      <w:r w:rsidR="00E45645">
        <w:rPr>
          <w:rFonts w:ascii="Arial" w:hAnsi="Arial" w:cs="Arial"/>
          <w:sz w:val="22"/>
          <w:szCs w:val="22"/>
        </w:rPr>
        <w:t xml:space="preserve">- </w:t>
      </w:r>
      <w:r w:rsidR="00E45645" w:rsidRPr="00E45645">
        <w:rPr>
          <w:rFonts w:ascii="Arial" w:hAnsi="Arial" w:cs="Arial"/>
          <w:sz w:val="22"/>
          <w:szCs w:val="22"/>
        </w:rPr>
        <w:t>Rekonstruovaná či modernizovaná kapacita podpořených zařízení nepobytových sociálních služeb</w:t>
      </w:r>
      <w:r w:rsidR="00E45645">
        <w:rPr>
          <w:rFonts w:ascii="Arial" w:hAnsi="Arial" w:cs="Arial"/>
          <w:sz w:val="22"/>
          <w:szCs w:val="22"/>
        </w:rPr>
        <w:t>.</w:t>
      </w:r>
    </w:p>
    <w:p w14:paraId="25CE036F" w14:textId="40F352E0" w:rsidR="00906B27" w:rsidRPr="00906B27" w:rsidRDefault="00E45645" w:rsidP="003E621C">
      <w:pPr>
        <w:spacing w:before="120" w:after="240" w:line="271" w:lineRule="auto"/>
        <w:jc w:val="both"/>
        <w:rPr>
          <w:rFonts w:ascii="Arial" w:hAnsi="Arial" w:cs="Arial"/>
          <w:sz w:val="22"/>
          <w:szCs w:val="22"/>
          <w:highlight w:val="lightGray"/>
        </w:rPr>
      </w:pPr>
      <w:r>
        <w:rPr>
          <w:rFonts w:ascii="Arial" w:hAnsi="Arial" w:cs="Arial"/>
          <w:sz w:val="22"/>
          <w:szCs w:val="22"/>
        </w:rPr>
        <w:t xml:space="preserve">Hodnoty indikátoru odpovídají </w:t>
      </w:r>
      <w:r w:rsidR="00FF4299">
        <w:rPr>
          <w:rFonts w:ascii="Arial" w:hAnsi="Arial" w:cs="Arial"/>
          <w:sz w:val="22"/>
          <w:szCs w:val="22"/>
        </w:rPr>
        <w:t xml:space="preserve">projektem </w:t>
      </w:r>
      <w:r>
        <w:rPr>
          <w:rFonts w:ascii="Arial" w:hAnsi="Arial" w:cs="Arial"/>
          <w:sz w:val="22"/>
          <w:szCs w:val="22"/>
        </w:rPr>
        <w:t xml:space="preserve">nově vytvořené </w:t>
      </w:r>
      <w:r w:rsidRPr="00E45645">
        <w:rPr>
          <w:rFonts w:ascii="Arial" w:hAnsi="Arial" w:cs="Arial"/>
          <w:sz w:val="22"/>
          <w:szCs w:val="22"/>
          <w:u w:val="single"/>
        </w:rPr>
        <w:t>roční</w:t>
      </w:r>
      <w:r>
        <w:rPr>
          <w:rFonts w:ascii="Arial" w:hAnsi="Arial" w:cs="Arial"/>
          <w:sz w:val="22"/>
          <w:szCs w:val="22"/>
        </w:rPr>
        <w:t xml:space="preserve"> kapacitě zařízení, tedy</w:t>
      </w:r>
      <w:r w:rsidRPr="00E45645">
        <w:rPr>
          <w:rFonts w:ascii="Arial" w:hAnsi="Arial" w:cs="Arial"/>
          <w:sz w:val="22"/>
          <w:szCs w:val="22"/>
        </w:rPr>
        <w:t xml:space="preserve"> maximální</w:t>
      </w:r>
      <w:r>
        <w:rPr>
          <w:rFonts w:ascii="Arial" w:hAnsi="Arial" w:cs="Arial"/>
          <w:sz w:val="22"/>
          <w:szCs w:val="22"/>
        </w:rPr>
        <w:t xml:space="preserve">mu </w:t>
      </w:r>
      <w:r w:rsidRPr="00E45645">
        <w:rPr>
          <w:rFonts w:ascii="Arial" w:hAnsi="Arial" w:cs="Arial"/>
          <w:sz w:val="22"/>
          <w:szCs w:val="22"/>
        </w:rPr>
        <w:t>odhadovan</w:t>
      </w:r>
      <w:r>
        <w:rPr>
          <w:rFonts w:ascii="Arial" w:hAnsi="Arial" w:cs="Arial"/>
          <w:sz w:val="22"/>
          <w:szCs w:val="22"/>
        </w:rPr>
        <w:t>ému</w:t>
      </w:r>
      <w:r w:rsidRPr="00E45645">
        <w:rPr>
          <w:rFonts w:ascii="Arial" w:hAnsi="Arial" w:cs="Arial"/>
          <w:sz w:val="22"/>
          <w:szCs w:val="22"/>
        </w:rPr>
        <w:t xml:space="preserve"> počt</w:t>
      </w:r>
      <w:r>
        <w:rPr>
          <w:rFonts w:ascii="Arial" w:hAnsi="Arial" w:cs="Arial"/>
          <w:sz w:val="22"/>
          <w:szCs w:val="22"/>
        </w:rPr>
        <w:t>u</w:t>
      </w:r>
      <w:r w:rsidRPr="00E45645">
        <w:rPr>
          <w:rFonts w:ascii="Arial" w:hAnsi="Arial" w:cs="Arial"/>
          <w:sz w:val="22"/>
          <w:szCs w:val="22"/>
        </w:rPr>
        <w:t xml:space="preserve"> osob, které je zařízení schopno nově obsloužit nebo se o ně starat alespoň jednou po dobu jednoho roku</w:t>
      </w:r>
      <w:r w:rsidR="00FF4299">
        <w:rPr>
          <w:rFonts w:ascii="Arial" w:hAnsi="Arial" w:cs="Arial"/>
          <w:sz w:val="22"/>
          <w:szCs w:val="22"/>
        </w:rPr>
        <w:t xml:space="preserve">. </w:t>
      </w:r>
      <w:r w:rsidR="009B2561">
        <w:rPr>
          <w:rFonts w:ascii="Arial" w:hAnsi="Arial" w:cs="Arial"/>
          <w:sz w:val="22"/>
          <w:szCs w:val="22"/>
        </w:rPr>
        <w:t xml:space="preserve">Výpočet hodnot indikátoru je založen na zkušenostech žadatele, nebo informacích uvedených v registru sociálních služeb, či např. interní evidenci. Vypočet hodnot příjemce uvede v </w:t>
      </w:r>
      <w:r w:rsidR="000111F4">
        <w:rPr>
          <w:rFonts w:ascii="Arial" w:hAnsi="Arial" w:cs="Arial"/>
          <w:sz w:val="22"/>
          <w:szCs w:val="22"/>
        </w:rPr>
        <w:t>podkladech pro hodnocení</w:t>
      </w:r>
      <w:r w:rsidR="009B2561">
        <w:rPr>
          <w:rFonts w:ascii="Arial" w:hAnsi="Arial" w:cs="Arial"/>
          <w:sz w:val="22"/>
          <w:szCs w:val="22"/>
        </w:rPr>
        <w:t>.</w:t>
      </w:r>
    </w:p>
    <w:p w14:paraId="5499786F" w14:textId="532B2CCE" w:rsidR="00906B27" w:rsidRPr="00906B27" w:rsidRDefault="00906B27" w:rsidP="003E621C">
      <w:pPr>
        <w:spacing w:before="120" w:after="240" w:line="271" w:lineRule="auto"/>
        <w:jc w:val="both"/>
        <w:rPr>
          <w:rFonts w:ascii="Arial" w:hAnsi="Arial" w:cs="Arial"/>
          <w:sz w:val="22"/>
          <w:szCs w:val="22"/>
        </w:rPr>
      </w:pPr>
      <w:r w:rsidRPr="00E45645">
        <w:rPr>
          <w:rFonts w:ascii="Arial" w:hAnsi="Arial" w:cs="Arial"/>
          <w:sz w:val="22"/>
          <w:szCs w:val="22"/>
        </w:rPr>
        <w:t xml:space="preserve">Hodnota je vykazována s přesností na celé </w:t>
      </w:r>
      <w:r w:rsidR="00E45645" w:rsidRPr="00E45645">
        <w:rPr>
          <w:rFonts w:ascii="Arial" w:hAnsi="Arial" w:cs="Arial"/>
          <w:sz w:val="22"/>
          <w:szCs w:val="22"/>
        </w:rPr>
        <w:t>osoby.</w:t>
      </w:r>
    </w:p>
    <w:p w14:paraId="7DC2EEDE" w14:textId="3A62CF5A" w:rsidR="00906B27" w:rsidRDefault="00906B27" w:rsidP="00906B27">
      <w:pPr>
        <w:spacing w:line="276" w:lineRule="auto"/>
        <w:jc w:val="both"/>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postup vykazování</w:t>
      </w:r>
    </w:p>
    <w:p w14:paraId="2DC65D09" w14:textId="77777777" w:rsidR="00A27628" w:rsidRPr="00171665" w:rsidRDefault="00A27628" w:rsidP="00A27628">
      <w:pPr>
        <w:spacing w:line="276" w:lineRule="auto"/>
        <w:jc w:val="both"/>
        <w:rPr>
          <w:rFonts w:ascii="Arial" w:hAnsi="Arial" w:cs="Arial"/>
          <w:sz w:val="20"/>
          <w:szCs w:val="20"/>
        </w:rPr>
      </w:pPr>
      <w:r w:rsidRPr="00171665">
        <w:rPr>
          <w:rFonts w:ascii="Arial" w:hAnsi="Arial" w:cs="Arial"/>
          <w:b/>
          <w:bCs/>
          <w:sz w:val="22"/>
          <w:szCs w:val="22"/>
        </w:rPr>
        <w:t xml:space="preserve">Výchozí hodnota: </w:t>
      </w:r>
      <w:r w:rsidRPr="00171665">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22012FCB" w14:textId="1319DA15" w:rsidR="00906B27" w:rsidRPr="00906B27" w:rsidRDefault="00906B27" w:rsidP="00171665">
      <w:pPr>
        <w:spacing w:before="120" w:after="120" w:line="276" w:lineRule="auto"/>
        <w:jc w:val="both"/>
        <w:rPr>
          <w:rFonts w:ascii="Arial" w:hAnsi="Arial" w:cs="Arial"/>
          <w:sz w:val="22"/>
          <w:szCs w:val="22"/>
        </w:rPr>
      </w:pPr>
      <w:r w:rsidRPr="00906B27">
        <w:rPr>
          <w:rFonts w:ascii="Arial" w:hAnsi="Arial" w:cs="Arial"/>
          <w:b/>
          <w:bCs/>
          <w:sz w:val="22"/>
          <w:szCs w:val="22"/>
        </w:rPr>
        <w:t>Cílová hodnota:</w:t>
      </w:r>
      <w:r w:rsidRPr="00906B27">
        <w:rPr>
          <w:rFonts w:ascii="Arial" w:hAnsi="Arial" w:cs="Arial"/>
          <w:sz w:val="22"/>
          <w:szCs w:val="22"/>
        </w:rPr>
        <w:t xml:space="preserve"> </w:t>
      </w:r>
      <w:r w:rsidR="00AD1117">
        <w:rPr>
          <w:rFonts w:ascii="Arial" w:hAnsi="Arial" w:cs="Arial"/>
          <w:sz w:val="22"/>
          <w:szCs w:val="22"/>
        </w:rPr>
        <w:t>R</w:t>
      </w:r>
      <w:r w:rsidR="00E45645" w:rsidRPr="00AD1117">
        <w:rPr>
          <w:rFonts w:ascii="Arial" w:hAnsi="Arial" w:cs="Arial"/>
          <w:sz w:val="22"/>
          <w:szCs w:val="22"/>
        </w:rPr>
        <w:t>oční kapacit</w:t>
      </w:r>
      <w:r w:rsidR="00AD1117" w:rsidRPr="00AD1117">
        <w:rPr>
          <w:rFonts w:ascii="Arial" w:hAnsi="Arial" w:cs="Arial"/>
          <w:sz w:val="22"/>
          <w:szCs w:val="22"/>
        </w:rPr>
        <w:t>a</w:t>
      </w:r>
      <w:r w:rsidR="00E45645" w:rsidRPr="00AD1117">
        <w:rPr>
          <w:rFonts w:ascii="Arial" w:hAnsi="Arial" w:cs="Arial"/>
          <w:sz w:val="22"/>
          <w:szCs w:val="22"/>
        </w:rPr>
        <w:t xml:space="preserve"> </w:t>
      </w:r>
      <w:r w:rsidR="00AD1117" w:rsidRPr="00AD1117">
        <w:rPr>
          <w:rFonts w:ascii="Arial" w:hAnsi="Arial" w:cs="Arial"/>
          <w:sz w:val="22"/>
          <w:szCs w:val="22"/>
        </w:rPr>
        <w:t>podpořených zařízení nepobytových sociálních služeb</w:t>
      </w:r>
      <w:r w:rsidRPr="00AD1117">
        <w:rPr>
          <w:rFonts w:ascii="Arial" w:hAnsi="Arial" w:cs="Arial"/>
          <w:sz w:val="22"/>
          <w:szCs w:val="22"/>
        </w:rPr>
        <w:t xml:space="preserve">, které se žadatel zavazuje </w:t>
      </w:r>
      <w:r w:rsidRPr="00AD1117">
        <w:rPr>
          <w:rFonts w:ascii="Arial" w:hAnsi="Arial" w:cs="Arial"/>
          <w:color w:val="000000" w:themeColor="text1"/>
          <w:sz w:val="22"/>
          <w:szCs w:val="22"/>
        </w:rPr>
        <w:t>vy</w:t>
      </w:r>
      <w:r w:rsidR="00AD1117" w:rsidRPr="00AD1117">
        <w:rPr>
          <w:rFonts w:ascii="Arial" w:hAnsi="Arial" w:cs="Arial"/>
          <w:color w:val="000000" w:themeColor="text1"/>
          <w:sz w:val="22"/>
          <w:szCs w:val="22"/>
        </w:rPr>
        <w:t>tvořit</w:t>
      </w:r>
      <w:r w:rsidRPr="00AD1117">
        <w:rPr>
          <w:rFonts w:ascii="Arial" w:hAnsi="Arial" w:cs="Arial"/>
          <w:color w:val="000000" w:themeColor="text1"/>
          <w:sz w:val="22"/>
          <w:szCs w:val="22"/>
        </w:rPr>
        <w:t xml:space="preserve">. </w:t>
      </w:r>
      <w:r w:rsidRPr="00AD1117">
        <w:rPr>
          <w:rFonts w:ascii="Arial" w:hAnsi="Arial" w:cs="Arial"/>
          <w:b/>
          <w:bCs/>
          <w:sz w:val="22"/>
          <w:szCs w:val="22"/>
        </w:rPr>
        <w:t>Žadatel v</w:t>
      </w:r>
      <w:r w:rsidR="000111F4">
        <w:rPr>
          <w:rFonts w:ascii="Arial" w:hAnsi="Arial" w:cs="Arial"/>
          <w:b/>
          <w:bCs/>
          <w:sz w:val="22"/>
          <w:szCs w:val="22"/>
        </w:rPr>
        <w:t xml:space="preserve"> podkladech pro hodnocení</w:t>
      </w:r>
      <w:r w:rsidR="005D5738">
        <w:rPr>
          <w:rFonts w:ascii="Arial" w:hAnsi="Arial" w:cs="Arial"/>
          <w:b/>
          <w:bCs/>
          <w:sz w:val="22"/>
          <w:szCs w:val="22"/>
        </w:rPr>
        <w:t xml:space="preserve"> </w:t>
      </w:r>
      <w:r w:rsidRPr="00AD1117">
        <w:rPr>
          <w:rFonts w:ascii="Arial" w:hAnsi="Arial" w:cs="Arial"/>
          <w:b/>
          <w:bCs/>
          <w:sz w:val="22"/>
          <w:szCs w:val="22"/>
        </w:rPr>
        <w:t xml:space="preserve">uvede způsob výpočtu tak, aby jeho výsledek odpovídal cílové hodnotě a bylo možné ho ověřit. </w:t>
      </w:r>
      <w:r w:rsidRPr="00AD1117">
        <w:rPr>
          <w:rFonts w:ascii="Arial" w:hAnsi="Arial" w:cs="Arial"/>
          <w:sz w:val="22"/>
          <w:szCs w:val="22"/>
        </w:rPr>
        <w:t xml:space="preserve">Tuto hodnotu se příjemce zavazuje naplnit k datu </w:t>
      </w:r>
      <w:r w:rsidRPr="00AD1117">
        <w:rPr>
          <w:rFonts w:ascii="Arial" w:hAnsi="Arial" w:cs="Arial"/>
          <w:color w:val="000000" w:themeColor="text1"/>
          <w:sz w:val="22"/>
          <w:szCs w:val="22"/>
        </w:rPr>
        <w:t xml:space="preserve">ukončení realizace projektu </w:t>
      </w:r>
      <w:r w:rsidRPr="00AD1117">
        <w:rPr>
          <w:rFonts w:ascii="Arial" w:hAnsi="Arial" w:cs="Arial"/>
          <w:sz w:val="22"/>
          <w:szCs w:val="22"/>
        </w:rPr>
        <w:t>a od tohoto okamžiku udržet až do konce udržitelnosti projektu.</w:t>
      </w:r>
      <w:r w:rsidRPr="00906B27">
        <w:rPr>
          <w:rFonts w:ascii="Arial" w:hAnsi="Arial" w:cs="Arial"/>
          <w:sz w:val="22"/>
          <w:szCs w:val="22"/>
        </w:rPr>
        <w:t xml:space="preserve"> </w:t>
      </w:r>
    </w:p>
    <w:p w14:paraId="2293410F" w14:textId="3BEBC6C4" w:rsidR="00906B27" w:rsidRPr="00AD1117" w:rsidRDefault="00906B27" w:rsidP="00906B27">
      <w:pPr>
        <w:spacing w:after="200" w:line="276" w:lineRule="auto"/>
        <w:jc w:val="both"/>
        <w:rPr>
          <w:rFonts w:ascii="Arial" w:hAnsi="Arial" w:cs="Arial"/>
          <w:sz w:val="22"/>
          <w:szCs w:val="22"/>
        </w:rPr>
      </w:pPr>
      <w:r w:rsidRPr="00906B27">
        <w:rPr>
          <w:rFonts w:ascii="Arial" w:hAnsi="Arial" w:cs="Arial"/>
          <w:b/>
          <w:bCs/>
          <w:sz w:val="22"/>
          <w:szCs w:val="22"/>
        </w:rPr>
        <w:t xml:space="preserve">Datum cílové </w:t>
      </w:r>
      <w:r w:rsidRPr="00AD1117">
        <w:rPr>
          <w:rFonts w:ascii="Arial" w:hAnsi="Arial" w:cs="Arial"/>
          <w:b/>
          <w:bCs/>
          <w:sz w:val="22"/>
          <w:szCs w:val="22"/>
        </w:rPr>
        <w:t>hodnoty:</w:t>
      </w:r>
      <w:r w:rsidRPr="00AD1117">
        <w:rPr>
          <w:rFonts w:ascii="Arial" w:hAnsi="Arial" w:cs="Arial"/>
          <w:sz w:val="22"/>
          <w:szCs w:val="22"/>
        </w:rPr>
        <w:t xml:space="preserve"> Žadatel v žádosti o podporu stanovuje jako datum ukončení realizace projektu.</w:t>
      </w:r>
      <w:r w:rsidR="00AD1117" w:rsidRPr="00AD1117">
        <w:rPr>
          <w:rFonts w:ascii="Arial" w:hAnsi="Arial" w:cs="Arial"/>
          <w:sz w:val="22"/>
          <w:szCs w:val="22"/>
        </w:rPr>
        <w:t xml:space="preserve"> </w:t>
      </w:r>
      <w:r w:rsidRPr="00AD1117">
        <w:rPr>
          <w:rFonts w:ascii="Arial" w:hAnsi="Arial" w:cs="Arial"/>
          <w:sz w:val="22"/>
          <w:szCs w:val="22"/>
        </w:rPr>
        <w:t xml:space="preserve">Datum se považuje za Rozhodné datum pro naplnění indikátoru a jsou k němu vztahovány další postupy v době udržitelnosti. </w:t>
      </w:r>
    </w:p>
    <w:p w14:paraId="0633ACC7" w14:textId="0DB318BA" w:rsidR="00906B27" w:rsidRPr="00906B27" w:rsidRDefault="00906B27" w:rsidP="00906B27">
      <w:pPr>
        <w:spacing w:after="200" w:line="276" w:lineRule="auto"/>
        <w:jc w:val="both"/>
        <w:rPr>
          <w:rFonts w:ascii="Arial" w:hAnsi="Arial" w:cs="Arial"/>
          <w:sz w:val="22"/>
          <w:szCs w:val="22"/>
        </w:rPr>
      </w:pPr>
      <w:r w:rsidRPr="00906B27">
        <w:rPr>
          <w:rFonts w:ascii="Arial" w:hAnsi="Arial" w:cs="Arial"/>
          <w:sz w:val="22"/>
          <w:szCs w:val="22"/>
        </w:rPr>
        <w:t>Datum je nutné při případném prodloužení realizace projektu udržovat aktuální, tj. v souladu s</w:t>
      </w:r>
      <w:r w:rsidR="003352F8">
        <w:rPr>
          <w:rFonts w:ascii="Arial" w:hAnsi="Arial" w:cs="Arial"/>
          <w:sz w:val="22"/>
          <w:szCs w:val="22"/>
        </w:rPr>
        <w:t> </w:t>
      </w:r>
      <w:r w:rsidRPr="00906B27">
        <w:rPr>
          <w:rFonts w:ascii="Arial" w:hAnsi="Arial" w:cs="Arial"/>
          <w:sz w:val="22"/>
          <w:szCs w:val="22"/>
        </w:rPr>
        <w:t>výše uvedeným.</w:t>
      </w:r>
    </w:p>
    <w:p w14:paraId="0777F6FC" w14:textId="2431962D" w:rsidR="00906B27" w:rsidRPr="00906B27" w:rsidRDefault="00906B27" w:rsidP="00906B27">
      <w:pPr>
        <w:spacing w:after="200" w:line="276" w:lineRule="auto"/>
        <w:jc w:val="both"/>
        <w:rPr>
          <w:rFonts w:ascii="Arial" w:hAnsi="Arial" w:cs="Arial"/>
          <w:sz w:val="22"/>
          <w:szCs w:val="22"/>
        </w:rPr>
      </w:pPr>
      <w:r w:rsidRPr="00AD1117">
        <w:rPr>
          <w:rFonts w:ascii="Arial" w:hAnsi="Arial" w:cs="Arial"/>
          <w:b/>
          <w:bCs/>
          <w:sz w:val="22"/>
          <w:szCs w:val="22"/>
        </w:rPr>
        <w:lastRenderedPageBreak/>
        <w:t>Dosažená hodnota:</w:t>
      </w:r>
      <w:r w:rsidRPr="00AD1117">
        <w:rPr>
          <w:rFonts w:ascii="Arial" w:hAnsi="Arial" w:cs="Arial"/>
          <w:sz w:val="22"/>
          <w:szCs w:val="22"/>
        </w:rPr>
        <w:t xml:space="preserve"> Skutečn</w:t>
      </w:r>
      <w:r w:rsidR="00AD1117" w:rsidRPr="00AD1117">
        <w:rPr>
          <w:rFonts w:ascii="Arial" w:hAnsi="Arial" w:cs="Arial"/>
          <w:sz w:val="22"/>
          <w:szCs w:val="22"/>
        </w:rPr>
        <w:t xml:space="preserve">ě vytvořená roční kapacita </w:t>
      </w:r>
      <w:r w:rsidR="003E621C" w:rsidRPr="00AD1117">
        <w:rPr>
          <w:rFonts w:ascii="Arial" w:hAnsi="Arial" w:cs="Arial"/>
          <w:sz w:val="22"/>
          <w:szCs w:val="22"/>
        </w:rPr>
        <w:t xml:space="preserve">podpořených </w:t>
      </w:r>
      <w:r w:rsidR="00AD1117" w:rsidRPr="00AD1117">
        <w:rPr>
          <w:rFonts w:ascii="Arial" w:hAnsi="Arial" w:cs="Arial"/>
          <w:sz w:val="22"/>
          <w:szCs w:val="22"/>
        </w:rPr>
        <w:t>zařízení nepobytových sociálních služeb</w:t>
      </w:r>
      <w:r w:rsidRPr="00AD1117">
        <w:rPr>
          <w:rFonts w:ascii="Arial" w:hAnsi="Arial" w:cs="Arial"/>
          <w:sz w:val="22"/>
          <w:szCs w:val="22"/>
        </w:rPr>
        <w:t>. Hodnotu je nutné poprvé vykázat nejpozději k Rozhodnému datu, tedy v</w:t>
      </w:r>
      <w:r w:rsidR="003352F8">
        <w:rPr>
          <w:rFonts w:ascii="Arial" w:hAnsi="Arial" w:cs="Arial"/>
          <w:sz w:val="22"/>
          <w:szCs w:val="22"/>
        </w:rPr>
        <w:t> </w:t>
      </w:r>
      <w:r w:rsidRPr="00AD1117">
        <w:rPr>
          <w:rFonts w:ascii="Arial" w:hAnsi="Arial" w:cs="Arial"/>
          <w:sz w:val="22"/>
          <w:szCs w:val="22"/>
        </w:rPr>
        <w:t>Závěrečné zprávě o realizaci projektu k datu ukončení realizace projektu</w:t>
      </w:r>
      <w:r w:rsidR="00AD1117" w:rsidRPr="00AD1117">
        <w:rPr>
          <w:rFonts w:ascii="Arial" w:hAnsi="Arial" w:cs="Arial"/>
          <w:sz w:val="22"/>
          <w:szCs w:val="22"/>
        </w:rPr>
        <w:t>.</w:t>
      </w:r>
    </w:p>
    <w:p w14:paraId="204AC6DD" w14:textId="2B645EE4" w:rsidR="00906B27" w:rsidRPr="00906B27" w:rsidRDefault="00906B27" w:rsidP="00906B27">
      <w:pPr>
        <w:spacing w:after="200" w:line="276" w:lineRule="auto"/>
        <w:jc w:val="both"/>
        <w:rPr>
          <w:rFonts w:ascii="Arial" w:hAnsi="Arial" w:cs="Arial"/>
          <w:sz w:val="22"/>
          <w:szCs w:val="22"/>
        </w:rPr>
      </w:pPr>
      <w:r w:rsidRPr="00906B27">
        <w:rPr>
          <w:rFonts w:ascii="Arial" w:hAnsi="Arial" w:cs="Arial"/>
          <w:sz w:val="22"/>
          <w:szCs w:val="22"/>
        </w:rPr>
        <w:t>Dosažená hodnota vykazovaná po Rozhodném datu se již váže k prokázání udržování výstupu projektu a je vykazována ve Zprávách o udržitelnosti projektu</w:t>
      </w:r>
      <w:r w:rsidRPr="00906B27">
        <w:rPr>
          <w:rFonts w:ascii="Arial" w:hAnsi="Arial" w:cs="Arial"/>
          <w:color w:val="FF0000"/>
          <w:sz w:val="22"/>
          <w:szCs w:val="22"/>
        </w:rPr>
        <w:t xml:space="preserve"> </w:t>
      </w:r>
      <w:r w:rsidRPr="00AD1117">
        <w:rPr>
          <w:rFonts w:ascii="Arial" w:hAnsi="Arial" w:cs="Arial"/>
          <w:sz w:val="22"/>
          <w:szCs w:val="22"/>
        </w:rPr>
        <w:t>pouze v případě změny výše dosažené hodnoty, a to včetně popisu, kdy a proč ke změně došlo.</w:t>
      </w:r>
    </w:p>
    <w:p w14:paraId="6FBBD14B" w14:textId="77777777" w:rsidR="00906B27" w:rsidRPr="00906B27" w:rsidRDefault="00906B27" w:rsidP="00906B27">
      <w:pPr>
        <w:spacing w:line="276" w:lineRule="auto"/>
        <w:jc w:val="both"/>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906B27" w:rsidRPr="00906B27" w14:paraId="54BC8765" w14:textId="77777777" w:rsidTr="00E97896">
        <w:trPr>
          <w:trHeight w:val="1793"/>
        </w:trPr>
        <w:tc>
          <w:tcPr>
            <w:tcW w:w="4575" w:type="dxa"/>
          </w:tcPr>
          <w:p w14:paraId="13590F41" w14:textId="77777777" w:rsidR="00906B27" w:rsidRPr="003E621C" w:rsidRDefault="00906B27" w:rsidP="003E621C">
            <w:pPr>
              <w:spacing w:before="120" w:after="120" w:line="271" w:lineRule="auto"/>
              <w:ind w:left="52"/>
              <w:jc w:val="both"/>
              <w:rPr>
                <w:rFonts w:ascii="Arial" w:hAnsi="Arial" w:cs="Arial"/>
                <w:b/>
                <w:bCs/>
                <w:sz w:val="22"/>
                <w:szCs w:val="22"/>
              </w:rPr>
            </w:pPr>
            <w:r w:rsidRPr="003E621C">
              <w:rPr>
                <w:rFonts w:ascii="Arial" w:hAnsi="Arial" w:cs="Arial"/>
                <w:b/>
                <w:bCs/>
                <w:sz w:val="22"/>
                <w:szCs w:val="22"/>
              </w:rPr>
              <w:t>V Závěrečné zprávě o realizaci projektu:</w:t>
            </w:r>
          </w:p>
          <w:p w14:paraId="5AAADE65" w14:textId="77777777" w:rsidR="00906B27" w:rsidRPr="003E621C" w:rsidRDefault="00906B27" w:rsidP="0065357C">
            <w:pPr>
              <w:numPr>
                <w:ilvl w:val="0"/>
                <w:numId w:val="36"/>
              </w:numPr>
              <w:spacing w:before="120" w:after="120" w:line="271" w:lineRule="auto"/>
              <w:ind w:left="454"/>
              <w:jc w:val="both"/>
              <w:rPr>
                <w:rFonts w:ascii="Arial" w:hAnsi="Arial" w:cs="Arial"/>
                <w:sz w:val="22"/>
                <w:szCs w:val="22"/>
              </w:rPr>
            </w:pPr>
            <w:r w:rsidRPr="003E621C">
              <w:rPr>
                <w:rFonts w:ascii="Arial" w:hAnsi="Arial" w:cs="Arial"/>
                <w:sz w:val="22"/>
                <w:szCs w:val="22"/>
              </w:rPr>
              <w:t xml:space="preserve">Fotodokumentace </w:t>
            </w:r>
          </w:p>
          <w:p w14:paraId="45EE4817" w14:textId="6D0A5825" w:rsidR="00D003AA" w:rsidRPr="003E621C" w:rsidRDefault="00906B27" w:rsidP="0065357C">
            <w:pPr>
              <w:numPr>
                <w:ilvl w:val="0"/>
                <w:numId w:val="36"/>
              </w:numPr>
              <w:spacing w:before="120" w:after="120" w:line="271" w:lineRule="auto"/>
              <w:ind w:left="454" w:hanging="324"/>
              <w:jc w:val="both"/>
              <w:rPr>
                <w:rFonts w:ascii="Arial" w:hAnsi="Arial" w:cs="Arial"/>
                <w:sz w:val="22"/>
                <w:szCs w:val="22"/>
              </w:rPr>
            </w:pPr>
            <w:r w:rsidRPr="003E621C">
              <w:rPr>
                <w:rFonts w:ascii="Arial" w:hAnsi="Arial" w:cs="Arial"/>
                <w:sz w:val="22"/>
                <w:szCs w:val="22"/>
              </w:rPr>
              <w:t>Doklad o předání a převzetí díla</w:t>
            </w:r>
          </w:p>
          <w:p w14:paraId="263DD66F" w14:textId="3CF15257" w:rsidR="00906B27" w:rsidRPr="003E621C" w:rsidRDefault="00906B27" w:rsidP="0065357C">
            <w:pPr>
              <w:pStyle w:val="Odstavecseseznamem"/>
              <w:numPr>
                <w:ilvl w:val="0"/>
                <w:numId w:val="36"/>
              </w:numPr>
              <w:spacing w:before="120" w:after="120" w:line="271" w:lineRule="auto"/>
              <w:ind w:left="454"/>
              <w:contextualSpacing w:val="0"/>
              <w:jc w:val="both"/>
              <w:rPr>
                <w:rFonts w:ascii="Arial" w:hAnsi="Arial" w:cs="Arial"/>
                <w:sz w:val="22"/>
                <w:szCs w:val="22"/>
              </w:rPr>
            </w:pPr>
            <w:r w:rsidRPr="003E621C">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2D582569" w14:textId="77777777" w:rsidR="00906B27" w:rsidRPr="003E621C" w:rsidRDefault="00906B27" w:rsidP="003E621C">
            <w:pPr>
              <w:spacing w:before="120" w:after="120" w:line="271" w:lineRule="auto"/>
              <w:jc w:val="both"/>
              <w:rPr>
                <w:rFonts w:ascii="Arial" w:hAnsi="Arial" w:cs="Arial"/>
                <w:sz w:val="22"/>
                <w:szCs w:val="22"/>
              </w:rPr>
            </w:pPr>
            <w:r w:rsidRPr="003E621C">
              <w:rPr>
                <w:rFonts w:ascii="Arial" w:hAnsi="Arial" w:cs="Arial"/>
                <w:b/>
                <w:bCs/>
                <w:sz w:val="22"/>
                <w:szCs w:val="22"/>
              </w:rPr>
              <w:t>V 1. Zprávě o udržitelnosti projektu</w:t>
            </w:r>
            <w:r w:rsidRPr="003E621C">
              <w:rPr>
                <w:rFonts w:ascii="Arial" w:hAnsi="Arial" w:cs="Arial"/>
                <w:sz w:val="22"/>
                <w:szCs w:val="22"/>
              </w:rPr>
              <w:t xml:space="preserve">: </w:t>
            </w:r>
          </w:p>
          <w:p w14:paraId="798B94EF" w14:textId="440B406C" w:rsidR="00762BE8" w:rsidRPr="003E621C" w:rsidRDefault="009B2561" w:rsidP="003E621C">
            <w:pPr>
              <w:pStyle w:val="Odstavecseseznamem"/>
              <w:numPr>
                <w:ilvl w:val="0"/>
                <w:numId w:val="46"/>
              </w:numPr>
              <w:spacing w:before="120" w:after="120" w:line="271" w:lineRule="auto"/>
              <w:ind w:left="514" w:hanging="283"/>
              <w:jc w:val="both"/>
              <w:rPr>
                <w:rFonts w:ascii="Arial" w:hAnsi="Arial" w:cs="Arial"/>
                <w:sz w:val="22"/>
                <w:szCs w:val="22"/>
              </w:rPr>
            </w:pPr>
            <w:r w:rsidRPr="003E621C">
              <w:rPr>
                <w:rFonts w:ascii="Arial" w:hAnsi="Arial" w:cs="Arial"/>
                <w:sz w:val="22"/>
                <w:szCs w:val="22"/>
              </w:rPr>
              <w:t>Kolaudační souhlas nebo kolaudační rozhodnutí</w:t>
            </w:r>
            <w:r w:rsidR="003E621C">
              <w:rPr>
                <w:rFonts w:ascii="Arial" w:hAnsi="Arial" w:cs="Arial"/>
                <w:sz w:val="22"/>
                <w:szCs w:val="22"/>
              </w:rPr>
              <w:t>,</w:t>
            </w:r>
            <w:r w:rsidRPr="003E621C">
              <w:rPr>
                <w:rFonts w:ascii="Arial" w:hAnsi="Arial" w:cs="Arial"/>
                <w:sz w:val="22"/>
                <w:szCs w:val="22"/>
              </w:rPr>
              <w:t xml:space="preserve"> v případě že nedošlo k doložení při Závěrečné zprávě o realizaci projektu</w:t>
            </w:r>
            <w:r w:rsidRPr="003E621C" w:rsidDel="009B2561">
              <w:rPr>
                <w:rFonts w:ascii="Arial" w:hAnsi="Arial" w:cs="Arial"/>
                <w:sz w:val="22"/>
                <w:szCs w:val="22"/>
              </w:rPr>
              <w:t xml:space="preserve"> </w:t>
            </w:r>
          </w:p>
          <w:p w14:paraId="4828727A" w14:textId="256E1D2C" w:rsidR="00A75D58" w:rsidRPr="003E621C" w:rsidRDefault="00A75D58" w:rsidP="003E621C">
            <w:pPr>
              <w:spacing w:before="120" w:after="120" w:line="271" w:lineRule="auto"/>
              <w:jc w:val="both"/>
              <w:rPr>
                <w:rFonts w:ascii="Arial" w:hAnsi="Arial" w:cs="Arial"/>
                <w:b/>
                <w:bCs/>
                <w:sz w:val="22"/>
                <w:szCs w:val="22"/>
              </w:rPr>
            </w:pPr>
            <w:r w:rsidRPr="003E621C">
              <w:rPr>
                <w:rFonts w:ascii="Arial" w:hAnsi="Arial" w:cs="Arial"/>
                <w:b/>
                <w:bCs/>
                <w:sz w:val="22"/>
                <w:szCs w:val="22"/>
              </w:rPr>
              <w:t>Ve všech Zprávách o udržitelnosti projektu:</w:t>
            </w:r>
          </w:p>
          <w:p w14:paraId="395A3553" w14:textId="564CB74E" w:rsidR="00906B27" w:rsidRPr="003E621C" w:rsidRDefault="00F232A5" w:rsidP="003E621C">
            <w:pPr>
              <w:pStyle w:val="Odstavecseseznamem"/>
              <w:numPr>
                <w:ilvl w:val="0"/>
                <w:numId w:val="46"/>
              </w:numPr>
              <w:spacing w:before="120" w:after="120" w:line="271" w:lineRule="auto"/>
              <w:ind w:left="514" w:hanging="283"/>
              <w:jc w:val="both"/>
              <w:rPr>
                <w:rFonts w:ascii="Arial" w:hAnsi="Arial" w:cs="Arial"/>
                <w:sz w:val="22"/>
                <w:szCs w:val="22"/>
              </w:rPr>
            </w:pPr>
            <w:r w:rsidRPr="003E621C">
              <w:rPr>
                <w:rFonts w:ascii="Arial" w:hAnsi="Arial" w:cs="Arial"/>
                <w:sz w:val="22"/>
                <w:szCs w:val="22"/>
              </w:rPr>
              <w:t>Dokumentace</w:t>
            </w:r>
            <w:r w:rsidR="00363485" w:rsidRPr="003E621C">
              <w:rPr>
                <w:rFonts w:ascii="Arial" w:hAnsi="Arial" w:cs="Arial"/>
                <w:sz w:val="22"/>
                <w:szCs w:val="22"/>
              </w:rPr>
              <w:t>/interní evidence</w:t>
            </w:r>
            <w:r w:rsidRPr="003E621C">
              <w:rPr>
                <w:rFonts w:ascii="Arial" w:hAnsi="Arial" w:cs="Arial"/>
                <w:sz w:val="22"/>
                <w:szCs w:val="22"/>
              </w:rPr>
              <w:t>, ze které bude vyplývat</w:t>
            </w:r>
            <w:r w:rsidR="00C46E6C" w:rsidRPr="003E621C">
              <w:rPr>
                <w:rFonts w:ascii="Arial" w:hAnsi="Arial" w:cs="Arial"/>
                <w:sz w:val="22"/>
                <w:szCs w:val="22"/>
              </w:rPr>
              <w:t xml:space="preserve"> skuteč</w:t>
            </w:r>
            <w:r w:rsidR="00577774" w:rsidRPr="003E621C">
              <w:rPr>
                <w:rFonts w:ascii="Arial" w:hAnsi="Arial" w:cs="Arial"/>
                <w:sz w:val="22"/>
                <w:szCs w:val="22"/>
              </w:rPr>
              <w:t>ný</w:t>
            </w:r>
            <w:r w:rsidR="0016160A" w:rsidRPr="003E621C">
              <w:rPr>
                <w:rFonts w:ascii="Arial" w:hAnsi="Arial" w:cs="Arial"/>
                <w:sz w:val="22"/>
                <w:szCs w:val="22"/>
              </w:rPr>
              <w:t xml:space="preserve"> počet osob, které je zařízení schopno nově obsloužit nebo se o ně starat alespoň jednou po dobu jednoho roku</w:t>
            </w:r>
          </w:p>
        </w:tc>
      </w:tr>
    </w:tbl>
    <w:p w14:paraId="5FA30A27" w14:textId="46803731" w:rsidR="00906B27" w:rsidRPr="00906B27" w:rsidRDefault="00906B27" w:rsidP="00906B27">
      <w:pPr>
        <w:spacing w:before="120" w:after="200" w:line="276" w:lineRule="auto"/>
        <w:jc w:val="both"/>
        <w:rPr>
          <w:rFonts w:ascii="Arial" w:hAnsi="Arial" w:cs="Arial"/>
          <w:sz w:val="22"/>
          <w:szCs w:val="22"/>
        </w:rPr>
      </w:pPr>
      <w:r w:rsidRPr="00906B27">
        <w:rPr>
          <w:rFonts w:ascii="Arial" w:hAnsi="Arial" w:cs="Arial"/>
          <w:sz w:val="22"/>
          <w:szCs w:val="22"/>
        </w:rPr>
        <w:t xml:space="preserve">Je nutné </w:t>
      </w:r>
      <w:r w:rsidRPr="00D003AA">
        <w:rPr>
          <w:rFonts w:ascii="Arial" w:hAnsi="Arial" w:cs="Arial"/>
          <w:sz w:val="22"/>
          <w:szCs w:val="22"/>
        </w:rPr>
        <w:t>doložit relevantní</w:t>
      </w:r>
      <w:r w:rsidRPr="00906B27">
        <w:rPr>
          <w:rFonts w:ascii="Arial" w:hAnsi="Arial" w:cs="Arial"/>
          <w:sz w:val="22"/>
          <w:szCs w:val="22"/>
        </w:rPr>
        <w:t xml:space="preserve"> uvedené dokumenty. Pokud v době udržitelnosti dojde ke změnám, bude v nejbližší následující Zprávě o udržitelnosti projektu vykázána aktualizovaná hodnota, včetně data, od kterého platí. Zároveň budou opětovně dodány materiály pro její ověření.</w:t>
      </w:r>
    </w:p>
    <w:p w14:paraId="0CC9598E" w14:textId="77777777" w:rsidR="00906B27" w:rsidRPr="00906B27" w:rsidRDefault="00906B27" w:rsidP="00906B27">
      <w:pPr>
        <w:keepNext/>
        <w:spacing w:line="276" w:lineRule="auto"/>
        <w:jc w:val="both"/>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 xml:space="preserve">TOLERANCE DOSAŽENÍ a udržení indikátoru </w:t>
      </w:r>
    </w:p>
    <w:p w14:paraId="237D58D5" w14:textId="56CE2DFF" w:rsidR="00906B27" w:rsidRPr="00906B27" w:rsidRDefault="00AD1117" w:rsidP="00906B27">
      <w:pPr>
        <w:spacing w:after="200" w:line="276" w:lineRule="auto"/>
        <w:jc w:val="both"/>
        <w:rPr>
          <w:rFonts w:ascii="Arial" w:hAnsi="Arial" w:cs="Arial"/>
          <w:sz w:val="22"/>
          <w:szCs w:val="22"/>
          <w:highlight w:val="yellow"/>
        </w:rPr>
      </w:pPr>
      <w:r w:rsidRPr="00D003AA">
        <w:rPr>
          <w:rFonts w:ascii="Arial" w:hAnsi="Arial" w:cs="Arial"/>
          <w:sz w:val="22"/>
          <w:szCs w:val="22"/>
        </w:rPr>
        <w:t>S ohlede</w:t>
      </w:r>
      <w:r w:rsidR="00486775" w:rsidRPr="00D003AA">
        <w:rPr>
          <w:rFonts w:ascii="Arial" w:hAnsi="Arial" w:cs="Arial"/>
          <w:sz w:val="22"/>
          <w:szCs w:val="22"/>
        </w:rPr>
        <w:t>m</w:t>
      </w:r>
      <w:r w:rsidRPr="00D003AA">
        <w:rPr>
          <w:rFonts w:ascii="Arial" w:hAnsi="Arial" w:cs="Arial"/>
          <w:sz w:val="22"/>
          <w:szCs w:val="22"/>
        </w:rPr>
        <w:t xml:space="preserve"> na fluktuac</w:t>
      </w:r>
      <w:r w:rsidR="002C26F9">
        <w:rPr>
          <w:rFonts w:ascii="Arial" w:hAnsi="Arial" w:cs="Arial"/>
          <w:sz w:val="22"/>
          <w:szCs w:val="22"/>
        </w:rPr>
        <w:t>i</w:t>
      </w:r>
      <w:r w:rsidRPr="00D003AA">
        <w:rPr>
          <w:rFonts w:ascii="Arial" w:hAnsi="Arial" w:cs="Arial"/>
          <w:sz w:val="22"/>
          <w:szCs w:val="22"/>
        </w:rPr>
        <w:t>, kter</w:t>
      </w:r>
      <w:r w:rsidR="002C26F9">
        <w:rPr>
          <w:rFonts w:ascii="Arial" w:hAnsi="Arial" w:cs="Arial"/>
          <w:sz w:val="22"/>
          <w:szCs w:val="22"/>
        </w:rPr>
        <w:t>á</w:t>
      </w:r>
      <w:r w:rsidRPr="00D003AA">
        <w:rPr>
          <w:rFonts w:ascii="Arial" w:hAnsi="Arial" w:cs="Arial"/>
          <w:sz w:val="22"/>
          <w:szCs w:val="22"/>
        </w:rPr>
        <w:t xml:space="preserve"> může oblast poskytování sociálních služeb postihnout, činní </w:t>
      </w:r>
      <w:r w:rsidR="00B22E1C">
        <w:rPr>
          <w:rFonts w:ascii="Arial" w:hAnsi="Arial" w:cs="Arial"/>
          <w:sz w:val="22"/>
          <w:szCs w:val="22"/>
        </w:rPr>
        <w:t>t</w:t>
      </w:r>
      <w:r w:rsidR="00906B27" w:rsidRPr="0065357C">
        <w:rPr>
          <w:rFonts w:ascii="Arial" w:hAnsi="Arial" w:cs="Arial"/>
          <w:sz w:val="22"/>
          <w:szCs w:val="22"/>
        </w:rPr>
        <w:t xml:space="preserve">oleranční pásmo minus </w:t>
      </w:r>
      <w:r w:rsidR="009B2561" w:rsidRPr="0065357C">
        <w:rPr>
          <w:rFonts w:ascii="Arial" w:hAnsi="Arial" w:cs="Arial"/>
          <w:sz w:val="22"/>
          <w:szCs w:val="22"/>
        </w:rPr>
        <w:t>20</w:t>
      </w:r>
      <w:r w:rsidRPr="0065357C">
        <w:rPr>
          <w:rFonts w:ascii="Arial" w:hAnsi="Arial" w:cs="Arial"/>
          <w:sz w:val="22"/>
          <w:szCs w:val="22"/>
        </w:rPr>
        <w:t xml:space="preserve"> </w:t>
      </w:r>
      <w:r w:rsidR="00906B27" w:rsidRPr="0065357C">
        <w:rPr>
          <w:rFonts w:ascii="Arial" w:hAnsi="Arial" w:cs="Arial"/>
          <w:sz w:val="22"/>
          <w:szCs w:val="22"/>
        </w:rPr>
        <w:t xml:space="preserve">% cílové </w:t>
      </w:r>
      <w:r w:rsidR="00906B27" w:rsidRPr="00D003AA">
        <w:rPr>
          <w:rFonts w:ascii="Arial" w:hAnsi="Arial" w:cs="Arial"/>
          <w:sz w:val="22"/>
          <w:szCs w:val="22"/>
        </w:rPr>
        <w:t>hodnoty indikátoru.</w:t>
      </w:r>
      <w:r w:rsidR="00906B27" w:rsidRPr="00906B27">
        <w:rPr>
          <w:rFonts w:ascii="Arial" w:hAnsi="Arial" w:cs="Arial"/>
          <w:sz w:val="22"/>
          <w:szCs w:val="22"/>
        </w:rPr>
        <w:t xml:space="preserve"> Toto pásmo je pevně navázáno na cílovou hodnotu naplňovanou k Rozhodnému datu, ale platí i pro období udržitelnosti po Rozhodném datu</w:t>
      </w:r>
      <w:r w:rsidR="00906B27" w:rsidRPr="00906B27">
        <w:rPr>
          <w:rFonts w:ascii="Arial" w:hAnsi="Arial" w:cs="Arial"/>
          <w:sz w:val="22"/>
          <w:szCs w:val="22"/>
          <w:vertAlign w:val="superscript"/>
        </w:rPr>
        <w:footnoteReference w:id="2"/>
      </w:r>
      <w:r w:rsidR="00906B27" w:rsidRPr="00906B27">
        <w:rPr>
          <w:rFonts w:ascii="Arial" w:hAnsi="Arial" w:cs="Arial"/>
          <w:sz w:val="22"/>
          <w:szCs w:val="22"/>
        </w:rPr>
        <w:t>. Překročení stanovené cílové hodnoty není sankcionováno.</w:t>
      </w:r>
    </w:p>
    <w:p w14:paraId="1AC5985B" w14:textId="77777777" w:rsidR="00906B27" w:rsidRPr="00906B27" w:rsidRDefault="00906B27" w:rsidP="00906B27">
      <w:pPr>
        <w:spacing w:after="200" w:line="276" w:lineRule="auto"/>
        <w:jc w:val="both"/>
        <w:rPr>
          <w:rFonts w:ascii="Arial" w:hAnsi="Arial" w:cs="Arial"/>
          <w:sz w:val="22"/>
          <w:szCs w:val="22"/>
        </w:rPr>
      </w:pPr>
      <w:r w:rsidRPr="00906B27">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29729EA5" w14:textId="29582675" w:rsidR="00906B27" w:rsidRPr="00906B27" w:rsidRDefault="00906B27" w:rsidP="00906B27">
      <w:pPr>
        <w:spacing w:after="200" w:line="276" w:lineRule="auto"/>
        <w:jc w:val="both"/>
        <w:rPr>
          <w:rFonts w:ascii="Arial" w:hAnsi="Arial" w:cs="Arial"/>
          <w:sz w:val="22"/>
          <w:szCs w:val="22"/>
        </w:rPr>
      </w:pPr>
      <w:r w:rsidRPr="00906B27">
        <w:rPr>
          <w:rFonts w:ascii="Arial" w:hAnsi="Arial" w:cs="Arial"/>
          <w:sz w:val="22"/>
          <w:szCs w:val="22"/>
        </w:rPr>
        <w:t xml:space="preserve">Když tak příjemce neučiní, zůstává cílová hodnota platná v nezměněné výši, a pokud bude vykázaná dosažená hodnota k Rozhodnému datu pod stanovenou tolerancí, bude postupováno dle Podmínek </w:t>
      </w:r>
      <w:r w:rsidRPr="0065357C">
        <w:rPr>
          <w:rFonts w:ascii="Arial" w:hAnsi="Arial" w:cs="Arial"/>
          <w:sz w:val="22"/>
          <w:szCs w:val="22"/>
        </w:rPr>
        <w:t xml:space="preserve">Právního aktu / Rozhodnutí, které stanoví konkrétní výši a typ </w:t>
      </w:r>
      <w:r w:rsidRPr="00906B27">
        <w:rPr>
          <w:rFonts w:ascii="Arial" w:hAnsi="Arial" w:cs="Arial"/>
          <w:sz w:val="22"/>
          <w:szCs w:val="22"/>
        </w:rPr>
        <w:t>sankce aplikované při nenaplnění cílové hodnoty indikátoru.</w:t>
      </w:r>
    </w:p>
    <w:p w14:paraId="2D3CF3A3" w14:textId="59D9E9D3" w:rsidR="00906B27" w:rsidRPr="00906B27" w:rsidRDefault="00906B27" w:rsidP="00906B27">
      <w:pPr>
        <w:spacing w:after="200" w:line="276" w:lineRule="auto"/>
        <w:jc w:val="both"/>
        <w:rPr>
          <w:rFonts w:ascii="Arial" w:hAnsi="Arial" w:cs="Arial"/>
          <w:sz w:val="22"/>
          <w:szCs w:val="22"/>
        </w:rPr>
      </w:pPr>
      <w:r w:rsidRPr="00906B27">
        <w:rPr>
          <w:rFonts w:ascii="Arial" w:hAnsi="Arial" w:cs="Arial"/>
          <w:sz w:val="22"/>
          <w:szCs w:val="22"/>
        </w:rPr>
        <w:t xml:space="preserve">V době udržitelnosti již </w:t>
      </w:r>
      <w:r w:rsidRPr="00906B27">
        <w:rPr>
          <w:rFonts w:ascii="Arial" w:hAnsi="Arial" w:cs="Arial"/>
          <w:b/>
          <w:bCs/>
          <w:sz w:val="22"/>
          <w:szCs w:val="22"/>
          <w:u w:val="single"/>
        </w:rPr>
        <w:t>nelze cílovou hodnotu upravit</w:t>
      </w:r>
      <w:r w:rsidRPr="00906B27">
        <w:rPr>
          <w:rFonts w:ascii="Arial" w:hAnsi="Arial" w:cs="Arial"/>
          <w:sz w:val="22"/>
          <w:szCs w:val="22"/>
        </w:rPr>
        <w:t xml:space="preserve"> a zůstává zafixovaná ve výši platné k datu skutečného ukončení realizace projektu. Pokud bude (po Rozhodném datu) v období </w:t>
      </w:r>
      <w:r w:rsidRPr="00906B27">
        <w:rPr>
          <w:rFonts w:ascii="Arial" w:hAnsi="Arial" w:cs="Arial"/>
          <w:sz w:val="22"/>
          <w:szCs w:val="22"/>
        </w:rPr>
        <w:lastRenderedPageBreak/>
        <w:t xml:space="preserve">udržitelnosti vykázaná dosažená hodnota pod stanovenou tolerancí, bude postupováno dle Podmínek </w:t>
      </w:r>
      <w:r w:rsidRPr="00D003AA">
        <w:rPr>
          <w:rFonts w:ascii="Arial" w:hAnsi="Arial" w:cs="Arial"/>
          <w:sz w:val="22"/>
          <w:szCs w:val="22"/>
        </w:rPr>
        <w:t xml:space="preserve">Právního </w:t>
      </w:r>
      <w:r w:rsidRPr="0065357C">
        <w:rPr>
          <w:rFonts w:ascii="Arial" w:hAnsi="Arial" w:cs="Arial"/>
          <w:sz w:val="22"/>
          <w:szCs w:val="22"/>
        </w:rPr>
        <w:t>aktu / Rozhodnutí</w:t>
      </w:r>
      <w:r w:rsidRPr="00D003AA">
        <w:rPr>
          <w:rFonts w:ascii="Arial" w:hAnsi="Arial" w:cs="Arial"/>
          <w:sz w:val="22"/>
          <w:szCs w:val="22"/>
        </w:rPr>
        <w:t>,</w:t>
      </w:r>
      <w:r w:rsidRPr="00906B27">
        <w:rPr>
          <w:rFonts w:ascii="Arial" w:hAnsi="Arial" w:cs="Arial"/>
          <w:sz w:val="22"/>
          <w:szCs w:val="22"/>
        </w:rPr>
        <w:t xml:space="preserve"> které stanoví konkrétní výš</w:t>
      </w:r>
      <w:r w:rsidR="00FD131B">
        <w:rPr>
          <w:rFonts w:ascii="Arial" w:hAnsi="Arial" w:cs="Arial"/>
          <w:sz w:val="22"/>
          <w:szCs w:val="22"/>
        </w:rPr>
        <w:t>i</w:t>
      </w:r>
      <w:r w:rsidRPr="00906B27">
        <w:rPr>
          <w:rFonts w:ascii="Arial" w:hAnsi="Arial" w:cs="Arial"/>
          <w:sz w:val="22"/>
          <w:szCs w:val="22"/>
        </w:rPr>
        <w:t xml:space="preserve"> a typ sankce aplikované při neudržení cílové hodnoty indikátoru a to poměrově, vztaženo k délce období udržitelnosti, době neplnění a výši neplnění.</w:t>
      </w:r>
    </w:p>
    <w:p w14:paraId="163DFA03" w14:textId="77777777" w:rsidR="00906B27" w:rsidRDefault="00906B27">
      <w:pPr>
        <w:spacing w:after="200" w:line="276" w:lineRule="auto"/>
        <w:rPr>
          <w:rStyle w:val="Zdraznnintenzivn"/>
          <w:rFonts w:ascii="Arial" w:eastAsiaTheme="minorHAnsi" w:hAnsi="Arial" w:cs="Arial"/>
          <w:i w:val="0"/>
          <w:iCs w:val="0"/>
          <w:caps/>
          <w:color w:val="31849B" w:themeColor="accent5" w:themeShade="BF"/>
          <w:highlight w:val="yellow"/>
          <w:lang w:eastAsia="en-US"/>
        </w:rPr>
      </w:pPr>
      <w:r>
        <w:rPr>
          <w:rStyle w:val="Zdraznnintenzivn"/>
          <w:rFonts w:ascii="Arial" w:eastAsiaTheme="minorHAnsi" w:hAnsi="Arial" w:cs="Arial"/>
          <w:i w:val="0"/>
          <w:iCs w:val="0"/>
          <w:caps/>
          <w:color w:val="31849B" w:themeColor="accent5" w:themeShade="BF"/>
          <w:highlight w:val="yellow"/>
          <w:lang w:eastAsia="en-US"/>
        </w:rPr>
        <w:br w:type="page"/>
      </w:r>
    </w:p>
    <w:tbl>
      <w:tblPr>
        <w:tblpPr w:leftFromText="141" w:rightFromText="141" w:vertAnchor="text" w:horzAnchor="margin" w:tblpX="-5" w:tblpY="152"/>
        <w:tblW w:w="9072" w:type="dxa"/>
        <w:tblLayout w:type="fixed"/>
        <w:tblCellMar>
          <w:left w:w="70" w:type="dxa"/>
          <w:right w:w="70" w:type="dxa"/>
        </w:tblCellMar>
        <w:tblLook w:val="04A0" w:firstRow="1" w:lastRow="0" w:firstColumn="1" w:lastColumn="0" w:noHBand="0" w:noVBand="1"/>
      </w:tblPr>
      <w:tblGrid>
        <w:gridCol w:w="2268"/>
        <w:gridCol w:w="2977"/>
        <w:gridCol w:w="3827"/>
      </w:tblGrid>
      <w:tr w:rsidR="00906B27" w:rsidRPr="00CE6BEE" w14:paraId="5B15360C" w14:textId="77777777" w:rsidTr="00906B27">
        <w:trPr>
          <w:trHeight w:val="325"/>
        </w:trPr>
        <w:tc>
          <w:tcPr>
            <w:tcW w:w="9072"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2AB77521" w14:textId="77777777" w:rsidR="00906B27" w:rsidRPr="000465C4" w:rsidRDefault="00906B27" w:rsidP="00906B27">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906B27" w:rsidRPr="00CE6BEE" w14:paraId="19BA1E1A" w14:textId="77777777" w:rsidTr="00906B27">
        <w:trPr>
          <w:trHeight w:val="8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5A00" w14:textId="77777777" w:rsidR="00906B27" w:rsidRPr="00C81922" w:rsidRDefault="00906B27" w:rsidP="00906B27">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4A491" w14:textId="77777777" w:rsidR="00906B27" w:rsidRPr="00C81922" w:rsidRDefault="00906B27" w:rsidP="00906B27">
            <w:pPr>
              <w:spacing w:before="80" w:after="80" w:line="276" w:lineRule="auto"/>
              <w:ind w:right="170"/>
              <w:jc w:val="center"/>
              <w:rPr>
                <w:rFonts w:ascii="Arial" w:eastAsiaTheme="minorHAnsi" w:hAnsi="Arial" w:cs="Arial"/>
                <w:b/>
                <w:bCs/>
                <w:color w:val="000000"/>
                <w:lang w:eastAsia="en-US"/>
              </w:rPr>
            </w:pPr>
            <w:r>
              <w:rPr>
                <w:rFonts w:ascii="Arial" w:eastAsiaTheme="minorHAnsi" w:hAnsi="Arial" w:cs="Arial"/>
                <w:b/>
                <w:bCs/>
                <w:color w:val="000000"/>
                <w:lang w:eastAsia="en-US"/>
              </w:rPr>
              <w:t xml:space="preserve">554 401 </w:t>
            </w:r>
            <w:r w:rsidRPr="00C81922">
              <w:rPr>
                <w:rFonts w:ascii="Arial" w:eastAsiaTheme="minorHAnsi" w:hAnsi="Arial" w:cs="Arial"/>
                <w:b/>
                <w:bCs/>
                <w:color w:val="000000"/>
                <w:lang w:eastAsia="en-US"/>
              </w:rPr>
              <w:t xml:space="preserve">- </w:t>
            </w:r>
            <w:r>
              <w:rPr>
                <w:rFonts w:ascii="Arial" w:eastAsiaTheme="minorHAnsi" w:hAnsi="Arial" w:cs="Arial"/>
                <w:b/>
                <w:bCs/>
                <w:color w:val="000000"/>
                <w:lang w:eastAsia="en-US"/>
              </w:rPr>
              <w:t>Rekonstruovaná či modernizovaná kapacita podpořených zařízení nepobytových sociálních služeb</w:t>
            </w:r>
          </w:p>
        </w:tc>
      </w:tr>
      <w:tr w:rsidR="00906B27" w:rsidRPr="00AB1542" w14:paraId="20C78E2D" w14:textId="77777777" w:rsidTr="00906B27">
        <w:trPr>
          <w:trHeight w:val="537"/>
        </w:trPr>
        <w:tc>
          <w:tcPr>
            <w:tcW w:w="2268"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1421939B" w14:textId="77777777" w:rsidR="00906B27" w:rsidRPr="00C81922" w:rsidRDefault="00906B27" w:rsidP="00906B27">
            <w:pPr>
              <w:pStyle w:val="Nadpis1"/>
              <w:spacing w:before="0" w:after="0"/>
              <w:ind w:left="57" w:right="57"/>
              <w:rPr>
                <w:rFonts w:ascii="Arial" w:hAnsi="Arial" w:cs="Arial"/>
              </w:rPr>
            </w:pPr>
            <w:r w:rsidRPr="00C81922">
              <w:rPr>
                <w:rFonts w:ascii="Arial" w:hAnsi="Arial" w:cs="Arial"/>
                <w:caps w:val="0"/>
                <w:sz w:val="22"/>
                <w:szCs w:val="22"/>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672851B6" w14:textId="77777777" w:rsidR="00906B27" w:rsidRPr="00C81922" w:rsidRDefault="00906B27" w:rsidP="00906B27">
            <w:pPr>
              <w:pStyle w:val="Nadpis1"/>
              <w:spacing w:before="0" w:after="0"/>
              <w:ind w:left="57" w:right="57"/>
              <w:rPr>
                <w:rFonts w:ascii="Arial" w:hAnsi="Arial" w:cs="Arial"/>
                <w:caps w:val="0"/>
                <w:sz w:val="22"/>
                <w:szCs w:val="22"/>
              </w:rPr>
            </w:pPr>
            <w:r w:rsidRPr="00C81922">
              <w:rPr>
                <w:rFonts w:ascii="Arial" w:hAnsi="Arial" w:cs="Arial"/>
                <w:caps w:val="0"/>
                <w:sz w:val="22"/>
                <w:szCs w:val="22"/>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10D399FF" w14:textId="77777777" w:rsidR="00906B27" w:rsidRPr="00C81922" w:rsidRDefault="00906B27" w:rsidP="00906B27">
            <w:pPr>
              <w:pStyle w:val="Nadpis1"/>
              <w:spacing w:before="0" w:after="0"/>
              <w:ind w:left="57" w:right="57"/>
              <w:rPr>
                <w:rFonts w:ascii="Arial" w:hAnsi="Arial" w:cs="Arial"/>
                <w:caps w:val="0"/>
                <w:sz w:val="22"/>
                <w:szCs w:val="22"/>
              </w:rPr>
            </w:pPr>
            <w:r w:rsidRPr="00C81922">
              <w:rPr>
                <w:rFonts w:ascii="Arial" w:hAnsi="Arial" w:cs="Arial"/>
                <w:caps w:val="0"/>
                <w:sz w:val="22"/>
                <w:szCs w:val="22"/>
              </w:rPr>
              <w:t>Typ indikátoru</w:t>
            </w:r>
          </w:p>
        </w:tc>
      </w:tr>
      <w:tr w:rsidR="00906B27" w:rsidRPr="00AB1542" w14:paraId="05C0D98C" w14:textId="77777777" w:rsidTr="00906B27">
        <w:trPr>
          <w:trHeight w:val="546"/>
        </w:trPr>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14:paraId="22A61337" w14:textId="61D01F69" w:rsidR="00906B27" w:rsidRPr="00C81922" w:rsidRDefault="00906B27" w:rsidP="00906B27">
            <w:pPr>
              <w:pStyle w:val="Nadpis1"/>
              <w:spacing w:before="0" w:after="0"/>
              <w:ind w:left="57" w:right="57"/>
              <w:rPr>
                <w:rFonts w:ascii="Arial" w:hAnsi="Arial" w:cs="Arial"/>
                <w:caps w:val="0"/>
                <w:sz w:val="22"/>
                <w:szCs w:val="22"/>
              </w:rPr>
            </w:pPr>
            <w:r w:rsidRPr="00C81922">
              <w:rPr>
                <w:rFonts w:ascii="Arial" w:hAnsi="Arial" w:cs="Arial"/>
                <w:caps w:val="0"/>
                <w:sz w:val="22"/>
                <w:szCs w:val="22"/>
              </w:rPr>
              <w:t xml:space="preserve">IROP </w:t>
            </w:r>
            <w:r w:rsidR="00D75F24">
              <w:rPr>
                <w:rFonts w:ascii="Arial" w:hAnsi="Arial" w:cs="Arial"/>
                <w:caps w:val="0"/>
                <w:sz w:val="22"/>
                <w:szCs w:val="22"/>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583BE7AA" w14:textId="77777777" w:rsidR="00906B27" w:rsidRPr="00C81922" w:rsidRDefault="00906B27" w:rsidP="00906B27">
            <w:pPr>
              <w:pStyle w:val="Nadpis1"/>
              <w:spacing w:before="0" w:after="0"/>
              <w:ind w:left="57" w:right="57"/>
              <w:rPr>
                <w:rFonts w:ascii="Arial" w:hAnsi="Arial" w:cs="Arial"/>
                <w:caps w:val="0"/>
                <w:sz w:val="22"/>
                <w:szCs w:val="22"/>
              </w:rPr>
            </w:pPr>
            <w:r>
              <w:rPr>
                <w:rFonts w:ascii="Arial" w:hAnsi="Arial" w:cs="Arial"/>
                <w:caps w:val="0"/>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0D3357ED" w14:textId="77777777" w:rsidR="00906B27" w:rsidRPr="00C81922" w:rsidRDefault="00906B27" w:rsidP="00906B27">
            <w:pPr>
              <w:pStyle w:val="Nadpis1"/>
              <w:spacing w:before="0" w:after="0"/>
              <w:ind w:left="57" w:right="57"/>
              <w:rPr>
                <w:rFonts w:ascii="Arial" w:hAnsi="Arial" w:cs="Arial"/>
                <w:caps w:val="0"/>
                <w:sz w:val="22"/>
                <w:szCs w:val="22"/>
              </w:rPr>
            </w:pPr>
            <w:r>
              <w:rPr>
                <w:rFonts w:ascii="Arial" w:hAnsi="Arial" w:cs="Arial"/>
                <w:caps w:val="0"/>
                <w:sz w:val="22"/>
                <w:szCs w:val="22"/>
              </w:rPr>
              <w:t>výstup</w:t>
            </w:r>
          </w:p>
        </w:tc>
      </w:tr>
    </w:tbl>
    <w:p w14:paraId="3A19643B" w14:textId="77777777" w:rsidR="00906B27" w:rsidRPr="00AB1542" w:rsidRDefault="00906B27" w:rsidP="00906B27">
      <w:pPr>
        <w:pStyle w:val="Nadpis1"/>
        <w:spacing w:after="0"/>
        <w:ind w:left="0"/>
        <w:jc w:val="both"/>
        <w:rPr>
          <w:rStyle w:val="Zdraznnintenzivn"/>
          <w:rFonts w:ascii="Arial" w:hAnsi="Arial" w:cs="Arial"/>
          <w:color w:val="31849B" w:themeColor="accent5" w:themeShade="BF"/>
        </w:rPr>
      </w:pPr>
      <w:r w:rsidRPr="00AB1542">
        <w:rPr>
          <w:rStyle w:val="Zdraznnintenzivn"/>
          <w:rFonts w:ascii="Arial" w:hAnsi="Arial" w:cs="Arial"/>
          <w:color w:val="31849B" w:themeColor="accent5" w:themeShade="BF"/>
        </w:rPr>
        <w:t xml:space="preserve">Definice indikátoru </w:t>
      </w:r>
    </w:p>
    <w:p w14:paraId="7B2705F2" w14:textId="6E863E6B" w:rsidR="00906B27" w:rsidRPr="009A4CBD" w:rsidRDefault="00E45645" w:rsidP="00906B27">
      <w:pPr>
        <w:spacing w:after="200" w:line="276" w:lineRule="auto"/>
        <w:jc w:val="both"/>
        <w:rPr>
          <w:rFonts w:ascii="Arial" w:hAnsi="Arial" w:cs="Arial"/>
          <w:sz w:val="22"/>
          <w:szCs w:val="22"/>
        </w:rPr>
      </w:pPr>
      <w:r w:rsidRPr="00E45645">
        <w:rPr>
          <w:rFonts w:ascii="Arial" w:hAnsi="Arial" w:cs="Arial"/>
          <w:sz w:val="22"/>
          <w:szCs w:val="22"/>
        </w:rPr>
        <w:t xml:space="preserve">Indikátor </w:t>
      </w:r>
      <w:proofErr w:type="gramStart"/>
      <w:r w:rsidRPr="00E45645">
        <w:rPr>
          <w:rFonts w:ascii="Arial" w:hAnsi="Arial" w:cs="Arial"/>
          <w:sz w:val="22"/>
          <w:szCs w:val="22"/>
        </w:rPr>
        <w:t>měří</w:t>
      </w:r>
      <w:proofErr w:type="gramEnd"/>
      <w:r w:rsidRPr="00E45645">
        <w:rPr>
          <w:rFonts w:ascii="Arial" w:hAnsi="Arial" w:cs="Arial"/>
          <w:sz w:val="22"/>
          <w:szCs w:val="22"/>
        </w:rPr>
        <w:t xml:space="preserve"> stávající modernizovanou či vylepšenou kapacitu nepobytových sociálních služeb. Kapacita je vyjádřena jako maximální odhadovaný počet osob, které je zařízení schopno lépe obsloužit nebo se o ně starat alespoň jednou po dobu jednoho roku. Do indikátoru se nezapočítává kapacita v nemocničních zařízeních, dále kapacita, kterou lze považovat za bydlení či ubytování osob, ani kapacita péče o děti ve vzdělávacích centrech.</w:t>
      </w:r>
    </w:p>
    <w:p w14:paraId="231BFEF1" w14:textId="77777777" w:rsidR="00906B27" w:rsidRPr="000465C4" w:rsidRDefault="00906B27" w:rsidP="00906B27">
      <w:pPr>
        <w:pStyle w:val="Nadpis1"/>
        <w:spacing w:after="0"/>
        <w:ind w:left="0"/>
        <w:jc w:val="both"/>
        <w:rPr>
          <w:rStyle w:val="Zdraznnintenzivn"/>
          <w:rFonts w:ascii="Arial" w:hAnsi="Arial" w:cs="Arial"/>
          <w:color w:val="31849B" w:themeColor="accent5" w:themeShade="BF"/>
        </w:rPr>
      </w:pPr>
      <w:r w:rsidRPr="000465C4">
        <w:rPr>
          <w:rStyle w:val="Zdraznnintenzivn"/>
          <w:rFonts w:ascii="Arial" w:hAnsi="Arial" w:cs="Arial"/>
          <w:color w:val="31849B" w:themeColor="accent5" w:themeShade="BF"/>
        </w:rPr>
        <w:t>Upřesňující informace</w:t>
      </w:r>
    </w:p>
    <w:p w14:paraId="6CDC41D0" w14:textId="081DA683" w:rsidR="00FF4299" w:rsidRPr="00486775" w:rsidRDefault="00FF4299" w:rsidP="00FF4299">
      <w:pPr>
        <w:spacing w:after="240" w:line="276" w:lineRule="auto"/>
        <w:jc w:val="both"/>
        <w:rPr>
          <w:rFonts w:ascii="Arial" w:hAnsi="Arial" w:cs="Arial"/>
          <w:i/>
          <w:iCs/>
          <w:sz w:val="22"/>
          <w:szCs w:val="22"/>
        </w:rPr>
      </w:pPr>
      <w:r w:rsidRPr="00E45645">
        <w:rPr>
          <w:rFonts w:ascii="Arial" w:hAnsi="Arial" w:cs="Arial"/>
          <w:sz w:val="22"/>
          <w:szCs w:val="22"/>
        </w:rPr>
        <w:t xml:space="preserve">Indikátor je povinný k výběru a naplnění pro projekty, </w:t>
      </w:r>
      <w:r>
        <w:rPr>
          <w:rFonts w:ascii="Arial" w:hAnsi="Arial" w:cs="Arial"/>
          <w:sz w:val="22"/>
          <w:szCs w:val="22"/>
        </w:rPr>
        <w:t xml:space="preserve">u kterých dochází k podpoře již existující (stávající) kapacity. Nově vytvářená kapacita nepobytových služeb je vykazována v indikátoru </w:t>
      </w:r>
      <w:r w:rsidRPr="00486775">
        <w:rPr>
          <w:rFonts w:ascii="Arial" w:hAnsi="Arial" w:cs="Arial"/>
          <w:i/>
          <w:iCs/>
          <w:sz w:val="22"/>
          <w:szCs w:val="22"/>
        </w:rPr>
        <w:t>554 301 - Nová kapacita podpořených zařízení nepobytových sociálních služeb.</w:t>
      </w:r>
    </w:p>
    <w:p w14:paraId="37193991" w14:textId="30F47214" w:rsidR="009B2561" w:rsidRPr="00906B27" w:rsidRDefault="00FF4299" w:rsidP="009B2561">
      <w:pPr>
        <w:spacing w:after="240" w:line="276" w:lineRule="auto"/>
        <w:jc w:val="both"/>
        <w:rPr>
          <w:rFonts w:ascii="Arial" w:hAnsi="Arial" w:cs="Arial"/>
          <w:sz w:val="22"/>
          <w:szCs w:val="22"/>
          <w:highlight w:val="lightGray"/>
        </w:rPr>
      </w:pPr>
      <w:r>
        <w:rPr>
          <w:rFonts w:ascii="Arial" w:hAnsi="Arial" w:cs="Arial"/>
          <w:sz w:val="22"/>
          <w:szCs w:val="22"/>
        </w:rPr>
        <w:t xml:space="preserve">Hodnoty indikátoru odpovídají projektem podpořené existující </w:t>
      </w:r>
      <w:r w:rsidRPr="00E45645">
        <w:rPr>
          <w:rFonts w:ascii="Arial" w:hAnsi="Arial" w:cs="Arial"/>
          <w:sz w:val="22"/>
          <w:szCs w:val="22"/>
          <w:u w:val="single"/>
        </w:rPr>
        <w:t>roční</w:t>
      </w:r>
      <w:r>
        <w:rPr>
          <w:rFonts w:ascii="Arial" w:hAnsi="Arial" w:cs="Arial"/>
          <w:sz w:val="22"/>
          <w:szCs w:val="22"/>
        </w:rPr>
        <w:t xml:space="preserve"> kapacitě zařízení, tedy</w:t>
      </w:r>
      <w:r w:rsidRPr="00E45645">
        <w:rPr>
          <w:rFonts w:ascii="Arial" w:hAnsi="Arial" w:cs="Arial"/>
          <w:sz w:val="22"/>
          <w:szCs w:val="22"/>
        </w:rPr>
        <w:t xml:space="preserve"> maximální</w:t>
      </w:r>
      <w:r>
        <w:rPr>
          <w:rFonts w:ascii="Arial" w:hAnsi="Arial" w:cs="Arial"/>
          <w:sz w:val="22"/>
          <w:szCs w:val="22"/>
        </w:rPr>
        <w:t xml:space="preserve">mu </w:t>
      </w:r>
      <w:r w:rsidRPr="00E45645">
        <w:rPr>
          <w:rFonts w:ascii="Arial" w:hAnsi="Arial" w:cs="Arial"/>
          <w:sz w:val="22"/>
          <w:szCs w:val="22"/>
        </w:rPr>
        <w:t>odhadovan</w:t>
      </w:r>
      <w:r>
        <w:rPr>
          <w:rFonts w:ascii="Arial" w:hAnsi="Arial" w:cs="Arial"/>
          <w:sz w:val="22"/>
          <w:szCs w:val="22"/>
        </w:rPr>
        <w:t>ému</w:t>
      </w:r>
      <w:r w:rsidRPr="00E45645">
        <w:rPr>
          <w:rFonts w:ascii="Arial" w:hAnsi="Arial" w:cs="Arial"/>
          <w:sz w:val="22"/>
          <w:szCs w:val="22"/>
        </w:rPr>
        <w:t xml:space="preserve"> počt</w:t>
      </w:r>
      <w:r>
        <w:rPr>
          <w:rFonts w:ascii="Arial" w:hAnsi="Arial" w:cs="Arial"/>
          <w:sz w:val="22"/>
          <w:szCs w:val="22"/>
        </w:rPr>
        <w:t>u</w:t>
      </w:r>
      <w:r w:rsidRPr="00E45645">
        <w:rPr>
          <w:rFonts w:ascii="Arial" w:hAnsi="Arial" w:cs="Arial"/>
          <w:sz w:val="22"/>
          <w:szCs w:val="22"/>
        </w:rPr>
        <w:t xml:space="preserve"> osob, které je zařízení schopno </w:t>
      </w:r>
      <w:r w:rsidR="009B2561">
        <w:rPr>
          <w:rFonts w:ascii="Arial" w:hAnsi="Arial" w:cs="Arial"/>
          <w:sz w:val="22"/>
          <w:szCs w:val="22"/>
        </w:rPr>
        <w:t>lépe</w:t>
      </w:r>
      <w:r w:rsidRPr="00E45645">
        <w:rPr>
          <w:rFonts w:ascii="Arial" w:hAnsi="Arial" w:cs="Arial"/>
          <w:sz w:val="22"/>
          <w:szCs w:val="22"/>
        </w:rPr>
        <w:t xml:space="preserve"> obsloužit nebo se o ně starat alespoň jednou po dobu jednoho roku</w:t>
      </w:r>
      <w:r>
        <w:rPr>
          <w:rFonts w:ascii="Arial" w:hAnsi="Arial" w:cs="Arial"/>
          <w:sz w:val="22"/>
          <w:szCs w:val="22"/>
        </w:rPr>
        <w:t xml:space="preserve">. </w:t>
      </w:r>
      <w:r w:rsidR="009B2561">
        <w:rPr>
          <w:rFonts w:ascii="Arial" w:hAnsi="Arial" w:cs="Arial"/>
          <w:sz w:val="22"/>
          <w:szCs w:val="22"/>
        </w:rPr>
        <w:t xml:space="preserve">Výpočet hodnot indikátoru je založen na zkušenostech žadatele, nebo informacích uvedených v registru sociálních služeb, či např. interní evidenci. Vypočet hodnot příjemce uvede v </w:t>
      </w:r>
      <w:r w:rsidR="00B323EF">
        <w:rPr>
          <w:rFonts w:ascii="Arial" w:hAnsi="Arial" w:cs="Arial"/>
          <w:sz w:val="22"/>
          <w:szCs w:val="22"/>
        </w:rPr>
        <w:t>podkladech pro hodnocení</w:t>
      </w:r>
      <w:r w:rsidR="009B2561">
        <w:rPr>
          <w:rFonts w:ascii="Arial" w:hAnsi="Arial" w:cs="Arial"/>
          <w:sz w:val="22"/>
          <w:szCs w:val="22"/>
        </w:rPr>
        <w:t>.</w:t>
      </w:r>
    </w:p>
    <w:p w14:paraId="189B85F5" w14:textId="77777777" w:rsidR="00FF4299" w:rsidRPr="00906B27" w:rsidRDefault="00FF4299" w:rsidP="00FF4299">
      <w:pPr>
        <w:spacing w:before="240" w:after="240" w:line="276" w:lineRule="auto"/>
        <w:jc w:val="both"/>
        <w:rPr>
          <w:rFonts w:ascii="Arial" w:hAnsi="Arial" w:cs="Arial"/>
          <w:sz w:val="22"/>
          <w:szCs w:val="22"/>
        </w:rPr>
      </w:pPr>
      <w:r w:rsidRPr="00E45645">
        <w:rPr>
          <w:rFonts w:ascii="Arial" w:hAnsi="Arial" w:cs="Arial"/>
          <w:sz w:val="22"/>
          <w:szCs w:val="22"/>
        </w:rPr>
        <w:t>Hodnota je vykazována s přesností na celé osoby.</w:t>
      </w:r>
    </w:p>
    <w:p w14:paraId="543A2C6D" w14:textId="6CF699AE" w:rsidR="00906B27" w:rsidRDefault="00906B27" w:rsidP="00906B27">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1B33357B" w14:textId="77777777" w:rsidR="00A27628" w:rsidRPr="00171665" w:rsidRDefault="00A27628" w:rsidP="00A27628">
      <w:pPr>
        <w:spacing w:line="276" w:lineRule="auto"/>
        <w:jc w:val="both"/>
        <w:rPr>
          <w:rFonts w:ascii="Arial" w:hAnsi="Arial" w:cs="Arial"/>
          <w:sz w:val="20"/>
          <w:szCs w:val="20"/>
        </w:rPr>
      </w:pPr>
      <w:r w:rsidRPr="00171665">
        <w:rPr>
          <w:rFonts w:ascii="Arial" w:hAnsi="Arial" w:cs="Arial"/>
          <w:b/>
          <w:bCs/>
          <w:sz w:val="22"/>
          <w:szCs w:val="22"/>
        </w:rPr>
        <w:t xml:space="preserve">Výchozí hodnota: </w:t>
      </w:r>
      <w:r w:rsidRPr="00171665">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09FEA499" w14:textId="3A4640AE" w:rsidR="00906B27" w:rsidRPr="009A4CBD" w:rsidRDefault="00906B27" w:rsidP="00171665">
      <w:pPr>
        <w:spacing w:before="120" w:after="120" w:line="276" w:lineRule="auto"/>
        <w:jc w:val="both"/>
        <w:rPr>
          <w:rFonts w:ascii="Arial" w:hAnsi="Arial" w:cs="Arial"/>
          <w:sz w:val="22"/>
          <w:szCs w:val="22"/>
        </w:rPr>
      </w:pPr>
      <w:r w:rsidRPr="009A4CBD">
        <w:rPr>
          <w:rFonts w:ascii="Arial" w:hAnsi="Arial" w:cs="Arial"/>
          <w:b/>
          <w:bCs/>
          <w:sz w:val="22"/>
          <w:szCs w:val="22"/>
        </w:rPr>
        <w:t>Cílová hodnota:</w:t>
      </w:r>
      <w:r w:rsidRPr="009A4CBD">
        <w:rPr>
          <w:rFonts w:ascii="Arial" w:hAnsi="Arial" w:cs="Arial"/>
          <w:sz w:val="22"/>
          <w:szCs w:val="22"/>
        </w:rPr>
        <w:t xml:space="preserve"> </w:t>
      </w:r>
      <w:r w:rsidR="00486775" w:rsidRPr="00486775">
        <w:rPr>
          <w:rFonts w:ascii="Arial" w:hAnsi="Arial" w:cs="Arial"/>
          <w:sz w:val="22"/>
          <w:szCs w:val="22"/>
        </w:rPr>
        <w:t xml:space="preserve">Roční kapacita </w:t>
      </w:r>
      <w:r w:rsidR="00486775">
        <w:rPr>
          <w:rFonts w:ascii="Arial" w:hAnsi="Arial" w:cs="Arial"/>
          <w:sz w:val="22"/>
          <w:szCs w:val="22"/>
        </w:rPr>
        <w:t>ne</w:t>
      </w:r>
      <w:r w:rsidR="00486775" w:rsidRPr="00486775">
        <w:rPr>
          <w:rFonts w:ascii="Arial" w:hAnsi="Arial" w:cs="Arial"/>
          <w:sz w:val="22"/>
          <w:szCs w:val="22"/>
        </w:rPr>
        <w:t xml:space="preserve">pobytových sociálních </w:t>
      </w:r>
      <w:r w:rsidR="00486775">
        <w:rPr>
          <w:rFonts w:ascii="Arial" w:hAnsi="Arial" w:cs="Arial"/>
          <w:sz w:val="22"/>
          <w:szCs w:val="22"/>
        </w:rPr>
        <w:t xml:space="preserve">služeb, </w:t>
      </w:r>
      <w:r w:rsidR="00486775" w:rsidRPr="00486775">
        <w:rPr>
          <w:rFonts w:ascii="Arial" w:hAnsi="Arial" w:cs="Arial"/>
          <w:sz w:val="22"/>
          <w:szCs w:val="22"/>
        </w:rPr>
        <w:t>kter</w:t>
      </w:r>
      <w:r w:rsidR="00486775">
        <w:rPr>
          <w:rFonts w:ascii="Arial" w:hAnsi="Arial" w:cs="Arial"/>
          <w:sz w:val="22"/>
          <w:szCs w:val="22"/>
        </w:rPr>
        <w:t>ou</w:t>
      </w:r>
      <w:r w:rsidR="00486775" w:rsidRPr="00486775">
        <w:rPr>
          <w:rFonts w:ascii="Arial" w:hAnsi="Arial" w:cs="Arial"/>
          <w:sz w:val="22"/>
          <w:szCs w:val="22"/>
        </w:rPr>
        <w:t xml:space="preserve"> se žadatel zavazuje</w:t>
      </w:r>
      <w:r w:rsidR="00486775">
        <w:rPr>
          <w:rFonts w:ascii="Arial" w:hAnsi="Arial" w:cs="Arial"/>
          <w:sz w:val="22"/>
          <w:szCs w:val="22"/>
        </w:rPr>
        <w:t xml:space="preserve"> vylepšit, či jinak</w:t>
      </w:r>
      <w:r w:rsidR="00486775" w:rsidRPr="00486775">
        <w:rPr>
          <w:rFonts w:ascii="Arial" w:hAnsi="Arial" w:cs="Arial"/>
          <w:sz w:val="22"/>
          <w:szCs w:val="22"/>
        </w:rPr>
        <w:t xml:space="preserve"> </w:t>
      </w:r>
      <w:r w:rsidR="00486775">
        <w:rPr>
          <w:rFonts w:ascii="Arial" w:hAnsi="Arial" w:cs="Arial"/>
          <w:sz w:val="22"/>
          <w:szCs w:val="22"/>
        </w:rPr>
        <w:t>podpořit</w:t>
      </w:r>
      <w:r w:rsidR="00486775" w:rsidRPr="00486775">
        <w:rPr>
          <w:rFonts w:ascii="Arial" w:hAnsi="Arial" w:cs="Arial"/>
          <w:sz w:val="22"/>
          <w:szCs w:val="22"/>
        </w:rPr>
        <w:t>.</w:t>
      </w:r>
      <w:r w:rsidR="00486775" w:rsidRPr="00486775">
        <w:rPr>
          <w:rFonts w:ascii="Arial" w:hAnsi="Arial" w:cs="Arial"/>
          <w:color w:val="000000" w:themeColor="text1"/>
          <w:sz w:val="22"/>
          <w:szCs w:val="22"/>
        </w:rPr>
        <w:t xml:space="preserve"> </w:t>
      </w:r>
      <w:r w:rsidRPr="00486775">
        <w:rPr>
          <w:rFonts w:ascii="Arial" w:hAnsi="Arial" w:cs="Arial"/>
          <w:b/>
          <w:bCs/>
          <w:sz w:val="22"/>
          <w:szCs w:val="22"/>
        </w:rPr>
        <w:t xml:space="preserve">Žadatel v </w:t>
      </w:r>
      <w:r w:rsidR="00665459">
        <w:rPr>
          <w:rFonts w:ascii="Arial" w:hAnsi="Arial" w:cs="Arial"/>
          <w:b/>
          <w:bCs/>
          <w:sz w:val="22"/>
          <w:szCs w:val="22"/>
        </w:rPr>
        <w:t>podkladech pro hodnocení</w:t>
      </w:r>
      <w:r w:rsidR="00E2515A">
        <w:rPr>
          <w:rFonts w:ascii="Arial" w:hAnsi="Arial" w:cs="Arial"/>
          <w:b/>
          <w:bCs/>
          <w:sz w:val="22"/>
          <w:szCs w:val="22"/>
        </w:rPr>
        <w:t xml:space="preserve"> </w:t>
      </w:r>
      <w:r w:rsidRPr="00486775">
        <w:rPr>
          <w:rFonts w:ascii="Arial" w:hAnsi="Arial" w:cs="Arial"/>
          <w:b/>
          <w:bCs/>
          <w:sz w:val="22"/>
          <w:szCs w:val="22"/>
        </w:rPr>
        <w:t xml:space="preserve">uvede způsob výpočtu tak, aby jeho výsledek odpovídal cílové hodnotě a bylo možné ho ověřit. </w:t>
      </w:r>
      <w:r w:rsidRPr="00486775">
        <w:rPr>
          <w:rFonts w:ascii="Arial" w:hAnsi="Arial" w:cs="Arial"/>
          <w:sz w:val="22"/>
          <w:szCs w:val="22"/>
        </w:rPr>
        <w:t xml:space="preserve">Tuto hodnotu se příjemce zavazuje naplnit k datu </w:t>
      </w:r>
      <w:r w:rsidRPr="00486775">
        <w:rPr>
          <w:rFonts w:ascii="Arial" w:hAnsi="Arial" w:cs="Arial"/>
          <w:color w:val="000000" w:themeColor="text1"/>
          <w:sz w:val="22"/>
          <w:szCs w:val="22"/>
        </w:rPr>
        <w:t xml:space="preserve">ukončení realizace projektu </w:t>
      </w:r>
      <w:r w:rsidRPr="00486775">
        <w:rPr>
          <w:rFonts w:ascii="Arial" w:hAnsi="Arial" w:cs="Arial"/>
          <w:sz w:val="22"/>
          <w:szCs w:val="22"/>
        </w:rPr>
        <w:t>a od tohoto okamžiku udržet až do konce udržitelnosti projektu.</w:t>
      </w:r>
      <w:r w:rsidRPr="009A4CBD">
        <w:rPr>
          <w:rFonts w:ascii="Arial" w:hAnsi="Arial" w:cs="Arial"/>
          <w:sz w:val="22"/>
          <w:szCs w:val="22"/>
        </w:rPr>
        <w:t xml:space="preserve"> </w:t>
      </w:r>
    </w:p>
    <w:p w14:paraId="08FD422D" w14:textId="51BD09C8" w:rsidR="00906B27" w:rsidRPr="003E3EA1" w:rsidRDefault="00906B27" w:rsidP="00906B27">
      <w:pPr>
        <w:spacing w:after="200" w:line="276" w:lineRule="auto"/>
        <w:jc w:val="both"/>
        <w:rPr>
          <w:rFonts w:ascii="Arial" w:hAnsi="Arial" w:cs="Arial"/>
          <w:color w:val="FF0000"/>
          <w:sz w:val="22"/>
          <w:szCs w:val="22"/>
          <w:highlight w:val="yellow"/>
        </w:rPr>
      </w:pPr>
      <w:r w:rsidRPr="009A4CBD">
        <w:rPr>
          <w:rFonts w:ascii="Arial" w:hAnsi="Arial" w:cs="Arial"/>
          <w:b/>
          <w:bCs/>
          <w:sz w:val="22"/>
          <w:szCs w:val="22"/>
        </w:rPr>
        <w:t>Datum cílové hodnoty:</w:t>
      </w:r>
      <w:r w:rsidRPr="009A4CBD">
        <w:rPr>
          <w:rFonts w:ascii="Arial" w:hAnsi="Arial" w:cs="Arial"/>
          <w:sz w:val="22"/>
          <w:szCs w:val="22"/>
        </w:rPr>
        <w:t xml:space="preserve"> Žadatel v žádosti o podporu stanovuje jako </w:t>
      </w:r>
      <w:r w:rsidRPr="00486775">
        <w:rPr>
          <w:rFonts w:ascii="Arial" w:hAnsi="Arial" w:cs="Arial"/>
          <w:sz w:val="22"/>
          <w:szCs w:val="22"/>
        </w:rPr>
        <w:t xml:space="preserve">datum ukončení realizace projektu. </w:t>
      </w:r>
      <w:r w:rsidRPr="008E4F0B">
        <w:rPr>
          <w:rFonts w:ascii="Arial" w:hAnsi="Arial" w:cs="Arial"/>
          <w:sz w:val="22"/>
          <w:szCs w:val="22"/>
        </w:rPr>
        <w:t>Datum se považuje za Rozhodné datum pro naplnění indikátoru a jsou k němu vztahovány další postupy v době udržitelnosti.</w:t>
      </w:r>
    </w:p>
    <w:p w14:paraId="76E05B7C" w14:textId="2D13CB9C" w:rsidR="00906B27" w:rsidRDefault="00906B27" w:rsidP="00906B27">
      <w:pPr>
        <w:spacing w:after="20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sidR="003352F8">
        <w:rPr>
          <w:rFonts w:ascii="Arial" w:hAnsi="Arial" w:cs="Arial"/>
          <w:sz w:val="22"/>
          <w:szCs w:val="22"/>
        </w:rPr>
        <w:t> </w:t>
      </w:r>
      <w:r w:rsidRPr="008E4F0B">
        <w:rPr>
          <w:rFonts w:ascii="Arial" w:hAnsi="Arial" w:cs="Arial"/>
          <w:sz w:val="22"/>
          <w:szCs w:val="22"/>
        </w:rPr>
        <w:t>výše uvedeným. Po ukončení realizace projektu již příjemce orientační datum cílové hodnoty neupravuje.</w:t>
      </w:r>
    </w:p>
    <w:p w14:paraId="1822AB85" w14:textId="0B261466" w:rsidR="00906B27" w:rsidRDefault="00906B27" w:rsidP="00906B27">
      <w:pPr>
        <w:spacing w:after="200" w:line="276" w:lineRule="auto"/>
        <w:jc w:val="both"/>
        <w:rPr>
          <w:rFonts w:ascii="Arial" w:hAnsi="Arial" w:cs="Arial"/>
          <w:sz w:val="22"/>
          <w:szCs w:val="22"/>
        </w:rPr>
      </w:pPr>
      <w:r w:rsidRPr="009A4CBD">
        <w:rPr>
          <w:rFonts w:ascii="Arial" w:hAnsi="Arial" w:cs="Arial"/>
          <w:b/>
          <w:bCs/>
          <w:sz w:val="22"/>
          <w:szCs w:val="22"/>
        </w:rPr>
        <w:lastRenderedPageBreak/>
        <w:t xml:space="preserve">Dosažená </w:t>
      </w:r>
      <w:r w:rsidRPr="00486775">
        <w:rPr>
          <w:rFonts w:ascii="Arial" w:hAnsi="Arial" w:cs="Arial"/>
          <w:b/>
          <w:bCs/>
          <w:sz w:val="22"/>
          <w:szCs w:val="22"/>
        </w:rPr>
        <w:t>hodnota:</w:t>
      </w:r>
      <w:r w:rsidRPr="00486775">
        <w:rPr>
          <w:rFonts w:ascii="Arial" w:hAnsi="Arial" w:cs="Arial"/>
          <w:sz w:val="22"/>
          <w:szCs w:val="22"/>
        </w:rPr>
        <w:t xml:space="preserve"> </w:t>
      </w:r>
      <w:r w:rsidR="00486775" w:rsidRPr="00486775">
        <w:rPr>
          <w:rFonts w:ascii="Arial" w:hAnsi="Arial" w:cs="Arial"/>
          <w:sz w:val="22"/>
          <w:szCs w:val="22"/>
        </w:rPr>
        <w:t xml:space="preserve">Skutečně podpořená roční kapacita nepobytových sociálních služeb. </w:t>
      </w:r>
      <w:r w:rsidRPr="00486775">
        <w:rPr>
          <w:rFonts w:ascii="Arial" w:hAnsi="Arial" w:cs="Arial"/>
          <w:sz w:val="22"/>
          <w:szCs w:val="22"/>
        </w:rPr>
        <w:t>Hodnotu je nutné poprvé vykázat nejpozději k Rozhodnému datu, tedy v Závěrečné zprávě o realizaci projektu k datu ukončení realizace projektu</w:t>
      </w:r>
      <w:r w:rsidR="00486775" w:rsidRPr="00486775">
        <w:rPr>
          <w:rFonts w:ascii="Arial" w:hAnsi="Arial" w:cs="Arial"/>
          <w:sz w:val="22"/>
          <w:szCs w:val="22"/>
        </w:rPr>
        <w:t>.</w:t>
      </w:r>
    </w:p>
    <w:p w14:paraId="051AD062" w14:textId="4AB1472A" w:rsidR="00906B27" w:rsidRPr="009A4CBD" w:rsidRDefault="00906B27" w:rsidP="00906B27">
      <w:pPr>
        <w:spacing w:after="200" w:line="276" w:lineRule="auto"/>
        <w:jc w:val="both"/>
        <w:rPr>
          <w:rFonts w:ascii="Arial" w:hAnsi="Arial" w:cs="Arial"/>
          <w:sz w:val="22"/>
          <w:szCs w:val="22"/>
        </w:rPr>
      </w:pPr>
      <w:r w:rsidRPr="00486775">
        <w:rPr>
          <w:rFonts w:ascii="Arial" w:hAnsi="Arial" w:cs="Arial"/>
          <w:sz w:val="22"/>
          <w:szCs w:val="22"/>
        </w:rPr>
        <w:t>Dosažená hodnota vykazovaná po Rozhodném datu se již váže k prokázání udržování výstupu projektu a je vykazována ve Zprávách o udržitelnosti projektu</w:t>
      </w:r>
      <w:r w:rsidR="00486775">
        <w:rPr>
          <w:rFonts w:ascii="Arial" w:hAnsi="Arial" w:cs="Arial"/>
          <w:color w:val="FF0000"/>
          <w:sz w:val="22"/>
          <w:szCs w:val="22"/>
        </w:rPr>
        <w:t xml:space="preserve"> </w:t>
      </w:r>
      <w:r w:rsidRPr="00486775">
        <w:rPr>
          <w:rFonts w:ascii="Arial" w:hAnsi="Arial" w:cs="Arial"/>
          <w:sz w:val="22"/>
          <w:szCs w:val="22"/>
        </w:rPr>
        <w:t>pouze v případě změny výše dosažené hodnoty, a to včetně popisu, kdy a proč ke změně došlo.</w:t>
      </w:r>
    </w:p>
    <w:p w14:paraId="70B8E284" w14:textId="77777777" w:rsidR="00906B27" w:rsidRPr="000465C4" w:rsidRDefault="00906B27" w:rsidP="00906B27">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906B27" w:rsidRPr="009A4CBD" w14:paraId="493B2E1C" w14:textId="77777777" w:rsidTr="002C26F9">
        <w:trPr>
          <w:trHeight w:val="1793"/>
        </w:trPr>
        <w:tc>
          <w:tcPr>
            <w:tcW w:w="4575" w:type="dxa"/>
            <w:shd w:val="clear" w:color="auto" w:fill="auto"/>
          </w:tcPr>
          <w:p w14:paraId="7FD6D484" w14:textId="77777777" w:rsidR="00906B27" w:rsidRPr="002C26F9" w:rsidRDefault="00906B27" w:rsidP="00B62A78">
            <w:pPr>
              <w:spacing w:before="120" w:after="120" w:line="271" w:lineRule="auto"/>
              <w:ind w:left="52"/>
              <w:jc w:val="both"/>
              <w:rPr>
                <w:rFonts w:ascii="Arial" w:hAnsi="Arial" w:cs="Arial"/>
                <w:b/>
                <w:bCs/>
                <w:sz w:val="22"/>
                <w:szCs w:val="22"/>
              </w:rPr>
            </w:pPr>
            <w:r w:rsidRPr="002C26F9">
              <w:rPr>
                <w:rFonts w:ascii="Arial" w:hAnsi="Arial" w:cs="Arial"/>
                <w:b/>
                <w:bCs/>
                <w:sz w:val="22"/>
                <w:szCs w:val="22"/>
              </w:rPr>
              <w:t>V Závěrečné zprávě o realizaci projektu:</w:t>
            </w:r>
          </w:p>
          <w:p w14:paraId="6FA3C1D0" w14:textId="77777777" w:rsidR="00906B27" w:rsidRPr="002C26F9" w:rsidRDefault="00906B27" w:rsidP="00B62A78">
            <w:pPr>
              <w:pStyle w:val="Odstavecseseznamem"/>
              <w:numPr>
                <w:ilvl w:val="0"/>
                <w:numId w:val="36"/>
              </w:numPr>
              <w:spacing w:before="120" w:after="120" w:line="271" w:lineRule="auto"/>
              <w:jc w:val="both"/>
              <w:rPr>
                <w:rFonts w:ascii="Arial" w:hAnsi="Arial" w:cs="Arial"/>
                <w:sz w:val="22"/>
                <w:szCs w:val="22"/>
              </w:rPr>
            </w:pPr>
            <w:r w:rsidRPr="002C26F9">
              <w:rPr>
                <w:rFonts w:ascii="Arial" w:hAnsi="Arial" w:cs="Arial"/>
                <w:sz w:val="22"/>
                <w:szCs w:val="22"/>
              </w:rPr>
              <w:t xml:space="preserve">Fotodokumentace </w:t>
            </w:r>
          </w:p>
          <w:p w14:paraId="47FD863C" w14:textId="77777777" w:rsidR="00906B27" w:rsidRPr="002C26F9" w:rsidRDefault="00906B27" w:rsidP="00B62A78">
            <w:pPr>
              <w:pStyle w:val="Odstavecseseznamem"/>
              <w:numPr>
                <w:ilvl w:val="0"/>
                <w:numId w:val="36"/>
              </w:numPr>
              <w:spacing w:before="120" w:after="120" w:line="271" w:lineRule="auto"/>
              <w:jc w:val="both"/>
              <w:rPr>
                <w:rFonts w:ascii="Arial" w:hAnsi="Arial" w:cs="Arial"/>
                <w:sz w:val="22"/>
                <w:szCs w:val="22"/>
              </w:rPr>
            </w:pPr>
            <w:r w:rsidRPr="002C26F9">
              <w:rPr>
                <w:rFonts w:ascii="Arial" w:hAnsi="Arial" w:cs="Arial"/>
                <w:sz w:val="22"/>
                <w:szCs w:val="22"/>
              </w:rPr>
              <w:t>Doklad o předání a převzetí díla</w:t>
            </w:r>
          </w:p>
          <w:p w14:paraId="64139465" w14:textId="567B7156" w:rsidR="00906B27" w:rsidRPr="002C26F9" w:rsidRDefault="00906B27" w:rsidP="00B62A78">
            <w:pPr>
              <w:pStyle w:val="Odstavecseseznamem"/>
              <w:numPr>
                <w:ilvl w:val="0"/>
                <w:numId w:val="36"/>
              </w:numPr>
              <w:spacing w:before="120" w:after="120" w:line="271" w:lineRule="auto"/>
              <w:jc w:val="both"/>
              <w:rPr>
                <w:rFonts w:ascii="Arial" w:hAnsi="Arial" w:cs="Arial"/>
                <w:sz w:val="22"/>
                <w:szCs w:val="22"/>
              </w:rPr>
            </w:pPr>
            <w:r w:rsidRPr="002C26F9">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shd w:val="clear" w:color="auto" w:fill="auto"/>
          </w:tcPr>
          <w:p w14:paraId="7DA89814" w14:textId="77777777" w:rsidR="00B62A78" w:rsidRPr="002C26F9" w:rsidRDefault="00B62A78" w:rsidP="00B62A78">
            <w:pPr>
              <w:spacing w:before="120" w:after="120" w:line="271" w:lineRule="auto"/>
              <w:rPr>
                <w:rFonts w:ascii="Arial" w:hAnsi="Arial" w:cs="Arial"/>
                <w:b/>
                <w:bCs/>
                <w:sz w:val="22"/>
                <w:szCs w:val="22"/>
              </w:rPr>
            </w:pPr>
            <w:r w:rsidRPr="002C26F9">
              <w:rPr>
                <w:rFonts w:ascii="Arial" w:hAnsi="Arial" w:cs="Arial"/>
                <w:b/>
                <w:bCs/>
                <w:sz w:val="22"/>
                <w:szCs w:val="22"/>
              </w:rPr>
              <w:t xml:space="preserve">V 1. Zprávě o udržitelnosti projektu: </w:t>
            </w:r>
          </w:p>
          <w:p w14:paraId="7FBC7A4F" w14:textId="77777777" w:rsidR="00B62A78" w:rsidRPr="002C26F9" w:rsidRDefault="00B62A78" w:rsidP="00D91F67">
            <w:pPr>
              <w:pStyle w:val="Odstavecseseznamem"/>
              <w:spacing w:before="120" w:after="120" w:line="271" w:lineRule="auto"/>
              <w:ind w:left="373" w:hanging="284"/>
              <w:jc w:val="both"/>
              <w:rPr>
                <w:rFonts w:ascii="Arial" w:hAnsi="Arial" w:cs="Arial"/>
                <w:sz w:val="22"/>
                <w:szCs w:val="22"/>
              </w:rPr>
            </w:pPr>
            <w:r w:rsidRPr="002C26F9">
              <w:rPr>
                <w:rFonts w:ascii="Arial" w:hAnsi="Arial" w:cs="Arial"/>
                <w:b/>
                <w:bCs/>
                <w:sz w:val="22"/>
                <w:szCs w:val="22"/>
              </w:rPr>
              <w:t>•</w:t>
            </w:r>
            <w:r w:rsidRPr="002C26F9">
              <w:rPr>
                <w:rFonts w:ascii="Arial" w:hAnsi="Arial" w:cs="Arial"/>
                <w:b/>
                <w:bCs/>
                <w:sz w:val="22"/>
                <w:szCs w:val="22"/>
              </w:rPr>
              <w:tab/>
            </w:r>
            <w:r w:rsidRPr="002C26F9">
              <w:rPr>
                <w:rFonts w:ascii="Arial" w:hAnsi="Arial" w:cs="Arial"/>
                <w:sz w:val="22"/>
                <w:szCs w:val="22"/>
              </w:rPr>
              <w:t xml:space="preserve">Kolaudační souhlas nebo kolaudační </w:t>
            </w:r>
          </w:p>
          <w:p w14:paraId="47DF451B" w14:textId="0DC2E002" w:rsidR="00B62A78" w:rsidRPr="002C26F9" w:rsidRDefault="00B62A78" w:rsidP="00D91F67">
            <w:pPr>
              <w:pStyle w:val="Odstavecseseznamem"/>
              <w:spacing w:before="120" w:after="120" w:line="271" w:lineRule="auto"/>
              <w:ind w:left="373"/>
              <w:jc w:val="both"/>
              <w:rPr>
                <w:rFonts w:ascii="Arial" w:hAnsi="Arial" w:cs="Arial"/>
                <w:b/>
                <w:bCs/>
                <w:sz w:val="22"/>
                <w:szCs w:val="22"/>
              </w:rPr>
            </w:pPr>
            <w:r w:rsidRPr="002C26F9">
              <w:rPr>
                <w:rFonts w:ascii="Arial" w:hAnsi="Arial" w:cs="Arial"/>
                <w:sz w:val="22"/>
                <w:szCs w:val="22"/>
              </w:rPr>
              <w:t>rozhodnutí, v případě že nedošlo k doložení při Závěrečné zprávě o realizaci projektu</w:t>
            </w:r>
            <w:r w:rsidRPr="002C26F9">
              <w:rPr>
                <w:rFonts w:ascii="Arial" w:hAnsi="Arial" w:cs="Arial"/>
                <w:b/>
                <w:bCs/>
                <w:sz w:val="22"/>
                <w:szCs w:val="22"/>
              </w:rPr>
              <w:t xml:space="preserve"> </w:t>
            </w:r>
          </w:p>
          <w:p w14:paraId="5B6AF0CD" w14:textId="77777777" w:rsidR="00B62A78" w:rsidRPr="002C26F9" w:rsidRDefault="00B62A78" w:rsidP="00D91F67">
            <w:pPr>
              <w:spacing w:before="120" w:after="120" w:line="271" w:lineRule="auto"/>
              <w:jc w:val="both"/>
              <w:rPr>
                <w:rFonts w:ascii="Arial" w:hAnsi="Arial" w:cs="Arial"/>
                <w:b/>
                <w:bCs/>
                <w:sz w:val="22"/>
                <w:szCs w:val="22"/>
              </w:rPr>
            </w:pPr>
            <w:r w:rsidRPr="002C26F9">
              <w:rPr>
                <w:rFonts w:ascii="Arial" w:hAnsi="Arial" w:cs="Arial"/>
                <w:b/>
                <w:bCs/>
                <w:sz w:val="22"/>
                <w:szCs w:val="22"/>
              </w:rPr>
              <w:t>Ve všech Zprávách o udržitelnosti projektu:</w:t>
            </w:r>
          </w:p>
          <w:p w14:paraId="455782A1" w14:textId="30A4DA11" w:rsidR="007B3417" w:rsidRPr="002C26F9" w:rsidRDefault="00B62A78" w:rsidP="00D91F67">
            <w:pPr>
              <w:pStyle w:val="Odstavecseseznamem"/>
              <w:spacing w:before="120" w:after="120" w:line="271" w:lineRule="auto"/>
              <w:ind w:left="373" w:hanging="284"/>
              <w:jc w:val="both"/>
              <w:rPr>
                <w:rFonts w:ascii="Arial" w:hAnsi="Arial" w:cs="Arial"/>
                <w:b/>
                <w:bCs/>
                <w:sz w:val="22"/>
                <w:szCs w:val="22"/>
              </w:rPr>
            </w:pPr>
            <w:r w:rsidRPr="002C26F9">
              <w:rPr>
                <w:rFonts w:ascii="Arial" w:hAnsi="Arial" w:cs="Arial"/>
                <w:b/>
                <w:bCs/>
                <w:sz w:val="22"/>
                <w:szCs w:val="22"/>
              </w:rPr>
              <w:t>•</w:t>
            </w:r>
            <w:r w:rsidRPr="002C26F9">
              <w:rPr>
                <w:rFonts w:ascii="Arial" w:hAnsi="Arial" w:cs="Arial"/>
                <w:b/>
                <w:bCs/>
                <w:sz w:val="22"/>
                <w:szCs w:val="22"/>
              </w:rPr>
              <w:tab/>
            </w:r>
            <w:r w:rsidRPr="002C26F9">
              <w:rPr>
                <w:rFonts w:ascii="Arial" w:hAnsi="Arial" w:cs="Arial"/>
                <w:sz w:val="22"/>
                <w:szCs w:val="22"/>
              </w:rPr>
              <w:t>Dokumentace/interní evidence, ze které bude vyplývat skutečný počet osob, které je zařízení schopno nově obsloužit nebo se o ně starat alespoň jednou po dobu jednoho roku</w:t>
            </w:r>
          </w:p>
        </w:tc>
      </w:tr>
    </w:tbl>
    <w:p w14:paraId="7E64B6EB" w14:textId="40E47196" w:rsidR="00906B27" w:rsidRPr="009A4CBD" w:rsidRDefault="00906B27" w:rsidP="00906B27">
      <w:pPr>
        <w:spacing w:before="120" w:after="200" w:line="276" w:lineRule="auto"/>
        <w:jc w:val="both"/>
        <w:rPr>
          <w:rFonts w:ascii="Arial" w:hAnsi="Arial" w:cs="Arial"/>
          <w:sz w:val="22"/>
          <w:szCs w:val="22"/>
        </w:rPr>
      </w:pPr>
      <w:r w:rsidRPr="009A4CBD">
        <w:rPr>
          <w:rFonts w:ascii="Arial" w:hAnsi="Arial" w:cs="Arial"/>
          <w:sz w:val="22"/>
          <w:szCs w:val="22"/>
        </w:rPr>
        <w:t xml:space="preserve">Je nutné doložit </w:t>
      </w:r>
      <w:r w:rsidRPr="00D003AA">
        <w:rPr>
          <w:rFonts w:ascii="Arial" w:hAnsi="Arial" w:cs="Arial"/>
          <w:sz w:val="22"/>
          <w:szCs w:val="22"/>
        </w:rPr>
        <w:t>relevantní</w:t>
      </w:r>
      <w:r>
        <w:rPr>
          <w:rFonts w:ascii="Arial" w:hAnsi="Arial" w:cs="Arial"/>
          <w:sz w:val="22"/>
          <w:szCs w:val="22"/>
        </w:rPr>
        <w:t xml:space="preserve"> </w:t>
      </w:r>
      <w:r w:rsidRPr="009A4CBD">
        <w:rPr>
          <w:rFonts w:ascii="Arial" w:hAnsi="Arial" w:cs="Arial"/>
          <w:sz w:val="22"/>
          <w:szCs w:val="22"/>
        </w:rPr>
        <w:t>uvedené dokumenty.</w:t>
      </w:r>
      <w:r>
        <w:rPr>
          <w:rFonts w:ascii="Arial" w:hAnsi="Arial" w:cs="Arial"/>
          <w:sz w:val="22"/>
          <w:szCs w:val="22"/>
        </w:rPr>
        <w:t xml:space="preserve"> </w:t>
      </w:r>
      <w:r w:rsidRPr="008E4F0B">
        <w:rPr>
          <w:rFonts w:ascii="Arial" w:hAnsi="Arial" w:cs="Arial"/>
          <w:sz w:val="22"/>
          <w:szCs w:val="22"/>
        </w:rPr>
        <w:t xml:space="preserve">Pokud v době udržitelnosti dojde ke změnám, bude v nejbližší následující Zprávě o udržitelnosti </w:t>
      </w:r>
      <w:r>
        <w:rPr>
          <w:rFonts w:ascii="Arial" w:hAnsi="Arial" w:cs="Arial"/>
          <w:sz w:val="22"/>
          <w:szCs w:val="22"/>
        </w:rPr>
        <w:t xml:space="preserve">projektu </w:t>
      </w:r>
      <w:r w:rsidRPr="008E4F0B">
        <w:rPr>
          <w:rFonts w:ascii="Arial" w:hAnsi="Arial" w:cs="Arial"/>
          <w:sz w:val="22"/>
          <w:szCs w:val="22"/>
        </w:rPr>
        <w:t>vykázána aktualizovaná hodnota, včetně data, od kterého platí. Zároveň budou opětovně dodány materiály pro její ověření.</w:t>
      </w:r>
    </w:p>
    <w:p w14:paraId="78CA51E6" w14:textId="77777777" w:rsidR="00906B27" w:rsidRPr="000465C4" w:rsidRDefault="00906B27" w:rsidP="00906B27">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 xml:space="preserve">TOLERANCE DOSAŽENÍ a udržení indikátoru </w:t>
      </w:r>
    </w:p>
    <w:p w14:paraId="04B4E091" w14:textId="57A74F5A" w:rsidR="00906B27" w:rsidRDefault="00486775" w:rsidP="00906B27">
      <w:pPr>
        <w:spacing w:after="200" w:line="276" w:lineRule="auto"/>
        <w:jc w:val="both"/>
        <w:rPr>
          <w:rFonts w:ascii="Arial" w:hAnsi="Arial" w:cs="Arial"/>
          <w:sz w:val="22"/>
          <w:szCs w:val="22"/>
          <w:highlight w:val="yellow"/>
        </w:rPr>
      </w:pPr>
      <w:r w:rsidRPr="00486775">
        <w:rPr>
          <w:rFonts w:ascii="Arial" w:hAnsi="Arial" w:cs="Arial"/>
          <w:sz w:val="22"/>
          <w:szCs w:val="22"/>
        </w:rPr>
        <w:t>S ohledem na fluktuac</w:t>
      </w:r>
      <w:r w:rsidR="002C26F9">
        <w:rPr>
          <w:rFonts w:ascii="Arial" w:hAnsi="Arial" w:cs="Arial"/>
          <w:sz w:val="22"/>
          <w:szCs w:val="22"/>
        </w:rPr>
        <w:t>i</w:t>
      </w:r>
      <w:r w:rsidRPr="00486775">
        <w:rPr>
          <w:rFonts w:ascii="Arial" w:hAnsi="Arial" w:cs="Arial"/>
          <w:sz w:val="22"/>
          <w:szCs w:val="22"/>
        </w:rPr>
        <w:t>, kter</w:t>
      </w:r>
      <w:r w:rsidR="002C26F9">
        <w:rPr>
          <w:rFonts w:ascii="Arial" w:hAnsi="Arial" w:cs="Arial"/>
          <w:sz w:val="22"/>
          <w:szCs w:val="22"/>
        </w:rPr>
        <w:t>á</w:t>
      </w:r>
      <w:r w:rsidRPr="00486775">
        <w:rPr>
          <w:rFonts w:ascii="Arial" w:hAnsi="Arial" w:cs="Arial"/>
          <w:sz w:val="22"/>
          <w:szCs w:val="22"/>
        </w:rPr>
        <w:t xml:space="preserve"> může oblast poskytování sociálních služeb postihnout, činní </w:t>
      </w:r>
      <w:r w:rsidR="00D91F67">
        <w:rPr>
          <w:rFonts w:ascii="Arial" w:hAnsi="Arial" w:cs="Arial"/>
          <w:sz w:val="22"/>
          <w:szCs w:val="22"/>
        </w:rPr>
        <w:t>t</w:t>
      </w:r>
      <w:r w:rsidRPr="00486775">
        <w:rPr>
          <w:rFonts w:ascii="Arial" w:hAnsi="Arial" w:cs="Arial"/>
          <w:sz w:val="22"/>
          <w:szCs w:val="22"/>
        </w:rPr>
        <w:t xml:space="preserve">oleranční pásmo minus </w:t>
      </w:r>
      <w:r w:rsidR="00BB19E5">
        <w:rPr>
          <w:rFonts w:ascii="Arial" w:hAnsi="Arial" w:cs="Arial"/>
          <w:sz w:val="22"/>
          <w:szCs w:val="22"/>
        </w:rPr>
        <w:t>20</w:t>
      </w:r>
      <w:r w:rsidR="00BB19E5" w:rsidRPr="00486775">
        <w:rPr>
          <w:rFonts w:ascii="Arial" w:hAnsi="Arial" w:cs="Arial"/>
          <w:sz w:val="22"/>
          <w:szCs w:val="22"/>
        </w:rPr>
        <w:t xml:space="preserve"> </w:t>
      </w:r>
      <w:r w:rsidRPr="00486775">
        <w:rPr>
          <w:rFonts w:ascii="Arial" w:hAnsi="Arial" w:cs="Arial"/>
          <w:sz w:val="22"/>
          <w:szCs w:val="22"/>
        </w:rPr>
        <w:t xml:space="preserve">% cílové hodnoty indikátoru. </w:t>
      </w:r>
      <w:r w:rsidR="00906B27" w:rsidRPr="00AF3D0A">
        <w:rPr>
          <w:rFonts w:ascii="Arial" w:hAnsi="Arial" w:cs="Arial"/>
          <w:sz w:val="22"/>
          <w:szCs w:val="22"/>
        </w:rPr>
        <w:t>Toto pásmo je pevně navázáno na cílovou hodnotu naplňovanou k Rozhodnému datu</w:t>
      </w:r>
      <w:r w:rsidR="00906B27">
        <w:rPr>
          <w:rFonts w:ascii="Arial" w:hAnsi="Arial" w:cs="Arial"/>
          <w:sz w:val="22"/>
          <w:szCs w:val="22"/>
        </w:rPr>
        <w:t>, ale p</w:t>
      </w:r>
      <w:r w:rsidR="00906B27" w:rsidRPr="008E4F0B">
        <w:rPr>
          <w:rFonts w:ascii="Arial" w:hAnsi="Arial" w:cs="Arial"/>
          <w:sz w:val="22"/>
          <w:szCs w:val="22"/>
        </w:rPr>
        <w:t xml:space="preserve">latí i pro období </w:t>
      </w:r>
      <w:r w:rsidR="00906B27">
        <w:rPr>
          <w:rFonts w:ascii="Arial" w:hAnsi="Arial" w:cs="Arial"/>
          <w:sz w:val="22"/>
          <w:szCs w:val="22"/>
        </w:rPr>
        <w:t xml:space="preserve">udržitelnosti </w:t>
      </w:r>
      <w:r w:rsidR="00906B27" w:rsidRPr="008E4F0B">
        <w:rPr>
          <w:rFonts w:ascii="Arial" w:hAnsi="Arial" w:cs="Arial"/>
          <w:sz w:val="22"/>
          <w:szCs w:val="22"/>
        </w:rPr>
        <w:t>po Rozhodném datu</w:t>
      </w:r>
      <w:r w:rsidR="00906B27">
        <w:rPr>
          <w:rStyle w:val="Znakapoznpodarou"/>
          <w:rFonts w:ascii="Arial" w:hAnsi="Arial" w:cs="Arial"/>
          <w:sz w:val="22"/>
          <w:szCs w:val="22"/>
        </w:rPr>
        <w:footnoteReference w:id="3"/>
      </w:r>
      <w:r w:rsidR="00906B27" w:rsidRPr="00AF3D0A">
        <w:rPr>
          <w:rFonts w:ascii="Arial" w:hAnsi="Arial" w:cs="Arial"/>
          <w:sz w:val="22"/>
          <w:szCs w:val="22"/>
        </w:rPr>
        <w:t>. Překročení stanovené cílové hodnoty není sankcionováno.</w:t>
      </w:r>
    </w:p>
    <w:p w14:paraId="2A17BF78" w14:textId="77777777" w:rsidR="00906B27" w:rsidRDefault="00906B27" w:rsidP="00906B27">
      <w:pPr>
        <w:spacing w:after="200" w:line="276" w:lineRule="auto"/>
        <w:jc w:val="both"/>
        <w:rPr>
          <w:rFonts w:ascii="Arial" w:hAnsi="Arial" w:cs="Arial"/>
          <w:sz w:val="22"/>
          <w:szCs w:val="22"/>
        </w:rPr>
      </w:pPr>
      <w:r w:rsidRPr="00AF3D0A">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w:t>
      </w:r>
      <w:r>
        <w:rPr>
          <w:rFonts w:ascii="Arial" w:hAnsi="Arial" w:cs="Arial"/>
          <w:sz w:val="22"/>
          <w:szCs w:val="22"/>
        </w:rPr>
        <w:t>s</w:t>
      </w:r>
      <w:r w:rsidRPr="00AF3D0A">
        <w:rPr>
          <w:rFonts w:ascii="Arial" w:hAnsi="Arial" w:cs="Arial"/>
          <w:sz w:val="22"/>
          <w:szCs w:val="22"/>
        </w:rPr>
        <w:t xml:space="preserve">nížením přímých výdajů projektu vážících se na daný výstup. V takovém případě bude možné tuto žádost </w:t>
      </w:r>
      <w:r>
        <w:rPr>
          <w:rFonts w:ascii="Arial" w:hAnsi="Arial" w:cs="Arial"/>
          <w:sz w:val="22"/>
          <w:szCs w:val="22"/>
        </w:rPr>
        <w:t>posoudit</w:t>
      </w:r>
      <w:r w:rsidRPr="00AF3D0A">
        <w:rPr>
          <w:rFonts w:ascii="Arial" w:hAnsi="Arial" w:cs="Arial"/>
          <w:sz w:val="22"/>
          <w:szCs w:val="22"/>
        </w:rPr>
        <w:t>, a rozhodnout, zda lze cílovou hodnotu snížit</w:t>
      </w:r>
      <w:r>
        <w:rPr>
          <w:rFonts w:ascii="Arial" w:hAnsi="Arial" w:cs="Arial"/>
          <w:sz w:val="22"/>
          <w:szCs w:val="22"/>
        </w:rPr>
        <w:t xml:space="preserve">. </w:t>
      </w:r>
    </w:p>
    <w:p w14:paraId="6C19192F" w14:textId="20AB257A" w:rsidR="00906B27" w:rsidRPr="00486775" w:rsidRDefault="00906B27" w:rsidP="00906B27">
      <w:pPr>
        <w:spacing w:after="200" w:line="276" w:lineRule="auto"/>
        <w:jc w:val="both"/>
        <w:rPr>
          <w:rFonts w:ascii="Arial" w:hAnsi="Arial" w:cs="Arial"/>
          <w:sz w:val="22"/>
          <w:szCs w:val="22"/>
        </w:rPr>
      </w:pPr>
      <w:r>
        <w:rPr>
          <w:rFonts w:ascii="Arial" w:hAnsi="Arial" w:cs="Arial"/>
          <w:sz w:val="22"/>
          <w:szCs w:val="22"/>
        </w:rPr>
        <w:t xml:space="preserve">Když tak příjemce neučiní, zůstává cílová hodnota platná v nezměněné výši, a pokud bude vykázaná dosažená hodnota k Rozhodnému datu pod stanovenou tolerancí, bude postupováno dle </w:t>
      </w:r>
      <w:r w:rsidRPr="00486775">
        <w:rPr>
          <w:rFonts w:ascii="Arial" w:hAnsi="Arial" w:cs="Arial"/>
          <w:sz w:val="22"/>
          <w:szCs w:val="22"/>
        </w:rPr>
        <w:t>Podmínek Právního aktu / Rozhodnutí, které stanoví konkrétní výši a typ sankce aplikované při nenaplnění cílové hodnoty indikátoru.</w:t>
      </w:r>
    </w:p>
    <w:p w14:paraId="1DA1499E" w14:textId="11666DB1" w:rsidR="00906B27" w:rsidRDefault="00906B27" w:rsidP="00D91F67">
      <w:pPr>
        <w:spacing w:after="200" w:line="276" w:lineRule="auto"/>
        <w:jc w:val="both"/>
        <w:rPr>
          <w:rStyle w:val="Zdraznnintenzivn"/>
          <w:rFonts w:ascii="Arial" w:eastAsiaTheme="minorHAnsi" w:hAnsi="Arial" w:cs="Arial"/>
          <w:i w:val="0"/>
          <w:iCs w:val="0"/>
          <w:caps/>
          <w:color w:val="31849B" w:themeColor="accent5" w:themeShade="BF"/>
          <w:highlight w:val="yellow"/>
          <w:lang w:eastAsia="en-US"/>
        </w:rPr>
      </w:pPr>
      <w:r w:rsidRPr="00486775">
        <w:rPr>
          <w:rFonts w:ascii="Arial" w:hAnsi="Arial" w:cs="Arial"/>
          <w:sz w:val="22"/>
          <w:szCs w:val="22"/>
        </w:rPr>
        <w:t xml:space="preserve">V době udržitelnosti již </w:t>
      </w:r>
      <w:r w:rsidRPr="00486775">
        <w:rPr>
          <w:rFonts w:ascii="Arial" w:hAnsi="Arial" w:cs="Arial"/>
          <w:b/>
          <w:bCs/>
          <w:sz w:val="22"/>
          <w:szCs w:val="22"/>
          <w:u w:val="single"/>
        </w:rPr>
        <w:t>nelze cílovou hodnotu upravit</w:t>
      </w:r>
      <w:r w:rsidRPr="00486775">
        <w:rPr>
          <w:rFonts w:ascii="Arial" w:hAnsi="Arial" w:cs="Arial"/>
          <w:sz w:val="22"/>
          <w:szCs w:val="22"/>
        </w:rPr>
        <w:t xml:space="preserve"> a zůstává zafixovaná ve výši platné k datu skutečného ukončení realizace projektu. Pokud bude (po Rozhodném datu) v období udržitelnosti vykázaná dosažená hodnota pod stanovenou tolerancí, bude postupováno dle </w:t>
      </w:r>
      <w:r w:rsidRPr="00486775">
        <w:rPr>
          <w:rFonts w:ascii="Arial" w:hAnsi="Arial" w:cs="Arial"/>
          <w:sz w:val="22"/>
          <w:szCs w:val="22"/>
        </w:rPr>
        <w:lastRenderedPageBreak/>
        <w:t>Podmínek Právního aktu / Rozhodnutí, které stanoví konk</w:t>
      </w:r>
      <w:r w:rsidRPr="00AF3D0A">
        <w:rPr>
          <w:rFonts w:ascii="Arial" w:hAnsi="Arial" w:cs="Arial"/>
          <w:sz w:val="22"/>
          <w:szCs w:val="22"/>
        </w:rPr>
        <w:t>rétní výš</w:t>
      </w:r>
      <w:r w:rsidR="005C71F1">
        <w:rPr>
          <w:rFonts w:ascii="Arial" w:hAnsi="Arial" w:cs="Arial"/>
          <w:sz w:val="22"/>
          <w:szCs w:val="22"/>
        </w:rPr>
        <w:t>i</w:t>
      </w:r>
      <w:r w:rsidRPr="00AF3D0A">
        <w:rPr>
          <w:rFonts w:ascii="Arial" w:hAnsi="Arial" w:cs="Arial"/>
          <w:sz w:val="22"/>
          <w:szCs w:val="22"/>
        </w:rPr>
        <w:t xml:space="preserve"> a typ sankce aplikované při ne</w:t>
      </w:r>
      <w:r>
        <w:rPr>
          <w:rFonts w:ascii="Arial" w:hAnsi="Arial" w:cs="Arial"/>
          <w:sz w:val="22"/>
          <w:szCs w:val="22"/>
        </w:rPr>
        <w:t>udržení</w:t>
      </w:r>
      <w:r w:rsidRPr="00AF3D0A">
        <w:rPr>
          <w:rFonts w:ascii="Arial" w:hAnsi="Arial" w:cs="Arial"/>
          <w:sz w:val="22"/>
          <w:szCs w:val="22"/>
        </w:rPr>
        <w:t xml:space="preserve"> cílové hodnoty indikátoru a to poměrově, vztaženo k délce období udržitelnosti, době neplnění a výši neplnění.</w:t>
      </w:r>
      <w:r>
        <w:rPr>
          <w:rStyle w:val="Zdraznnintenzivn"/>
          <w:rFonts w:ascii="Arial" w:eastAsiaTheme="minorHAnsi" w:hAnsi="Arial" w:cs="Arial"/>
          <w:i w:val="0"/>
          <w:iCs w:val="0"/>
          <w:caps/>
          <w:color w:val="31849B" w:themeColor="accent5" w:themeShade="BF"/>
          <w:highlight w:val="yellow"/>
          <w:lang w:eastAsia="en-US"/>
        </w:rPr>
        <w:br w:type="page"/>
      </w:r>
    </w:p>
    <w:tbl>
      <w:tblPr>
        <w:tblpPr w:leftFromText="141" w:rightFromText="141" w:vertAnchor="text" w:horzAnchor="margin" w:tblpY="40"/>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906B27" w:rsidRPr="00906B27" w14:paraId="39309E0A" w14:textId="77777777" w:rsidTr="00906B27">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6A78D92E" w14:textId="77777777" w:rsidR="00906B27" w:rsidRPr="00906B27" w:rsidRDefault="00906B27" w:rsidP="00906B27">
            <w:pPr>
              <w:spacing w:line="276" w:lineRule="auto"/>
              <w:ind w:left="170" w:right="170"/>
              <w:jc w:val="center"/>
              <w:rPr>
                <w:rFonts w:ascii="Arial" w:eastAsiaTheme="minorHAnsi" w:hAnsi="Arial" w:cs="Arial"/>
                <w:b/>
                <w:bCs/>
                <w:color w:val="000000"/>
                <w:lang w:eastAsia="en-US"/>
              </w:rPr>
            </w:pPr>
            <w:r w:rsidRPr="00906B27">
              <w:rPr>
                <w:rFonts w:ascii="Arial" w:eastAsiaTheme="minorHAnsi" w:hAnsi="Arial" w:cs="Arial"/>
                <w:b/>
                <w:bCs/>
                <w:color w:val="000000"/>
                <w:lang w:eastAsia="en-US"/>
              </w:rPr>
              <w:lastRenderedPageBreak/>
              <w:t>METODICKÝ LIST INDIKÁTORU</w:t>
            </w:r>
          </w:p>
        </w:tc>
      </w:tr>
      <w:tr w:rsidR="00906B27" w:rsidRPr="00906B27" w14:paraId="6E5921BD" w14:textId="77777777" w:rsidTr="00906B27">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BC7CB" w14:textId="77777777" w:rsidR="00906B27" w:rsidRPr="00906B27" w:rsidRDefault="00906B27" w:rsidP="00906B27">
            <w:pPr>
              <w:spacing w:before="80" w:after="80" w:line="276" w:lineRule="auto"/>
              <w:ind w:left="57" w:right="57"/>
              <w:jc w:val="center"/>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C6846" w14:textId="77777777" w:rsidR="00906B27" w:rsidRPr="00906B27" w:rsidRDefault="00906B27" w:rsidP="00906B27">
            <w:pPr>
              <w:spacing w:before="80" w:after="80" w:line="276" w:lineRule="auto"/>
              <w:ind w:right="170"/>
              <w:jc w:val="center"/>
              <w:rPr>
                <w:rFonts w:ascii="Arial" w:eastAsiaTheme="minorHAnsi" w:hAnsi="Arial" w:cs="Arial"/>
                <w:b/>
                <w:bCs/>
                <w:color w:val="000000"/>
                <w:lang w:eastAsia="en-US"/>
              </w:rPr>
            </w:pPr>
            <w:r w:rsidRPr="00906B27">
              <w:rPr>
                <w:rFonts w:ascii="Arial" w:eastAsiaTheme="minorHAnsi" w:hAnsi="Arial" w:cs="Arial"/>
                <w:b/>
                <w:bCs/>
                <w:color w:val="000000"/>
                <w:lang w:eastAsia="en-US"/>
              </w:rPr>
              <w:t>554 101 - Nová kapacita podpořených zařízení pobytových sociálních služeb</w:t>
            </w:r>
          </w:p>
        </w:tc>
      </w:tr>
      <w:tr w:rsidR="00906B27" w:rsidRPr="00906B27" w14:paraId="5ED0A5F7" w14:textId="77777777" w:rsidTr="00906B27">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C704778" w14:textId="77777777" w:rsidR="00906B27" w:rsidRPr="00906B27" w:rsidRDefault="00906B27" w:rsidP="00906B27">
            <w:pPr>
              <w:spacing w:line="276" w:lineRule="auto"/>
              <w:ind w:left="57" w:right="57"/>
              <w:jc w:val="center"/>
              <w:outlineLvl w:val="0"/>
              <w:rPr>
                <w:rFonts w:ascii="Arial" w:eastAsiaTheme="minorHAnsi" w:hAnsi="Arial" w:cs="Arial"/>
                <w:b/>
                <w:bCs/>
                <w:caps/>
                <w:color w:val="000000"/>
                <w:lang w:eastAsia="en-US"/>
              </w:rPr>
            </w:pPr>
            <w:r w:rsidRPr="00906B27">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2A72B185"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D10F697"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Typ indikátoru</w:t>
            </w:r>
          </w:p>
        </w:tc>
      </w:tr>
      <w:tr w:rsidR="00906B27" w:rsidRPr="00906B27" w14:paraId="27EB4949" w14:textId="77777777" w:rsidTr="00906B27">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057BEDE5" w14:textId="698679C8"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 xml:space="preserve">IROP </w:t>
            </w:r>
            <w:r w:rsidR="00D75F24">
              <w:rPr>
                <w:rFonts w:ascii="Arial" w:eastAsiaTheme="minorHAnsi" w:hAnsi="Arial" w:cs="Arial"/>
                <w:b/>
                <w:bCs/>
                <w:color w:val="000000"/>
                <w:sz w:val="22"/>
                <w:szCs w:val="22"/>
                <w:lang w:eastAsia="en-US"/>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E6212A6"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lang w:eastAsia="en-US"/>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13726DCF"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výstup</w:t>
            </w:r>
          </w:p>
        </w:tc>
      </w:tr>
    </w:tbl>
    <w:p w14:paraId="2707628E" w14:textId="77777777" w:rsidR="00906B27" w:rsidRPr="00906B27" w:rsidRDefault="00906B27" w:rsidP="00906B27">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 xml:space="preserve">Definice indikátoru </w:t>
      </w:r>
    </w:p>
    <w:p w14:paraId="615CA458" w14:textId="769617B2" w:rsidR="00906B27" w:rsidRPr="00906B27" w:rsidRDefault="00FF4299" w:rsidP="00906B27">
      <w:pPr>
        <w:spacing w:after="200" w:line="276" w:lineRule="auto"/>
        <w:jc w:val="both"/>
        <w:rPr>
          <w:rFonts w:ascii="Arial" w:hAnsi="Arial" w:cs="Arial"/>
          <w:sz w:val="22"/>
          <w:szCs w:val="22"/>
        </w:rPr>
      </w:pPr>
      <w:r w:rsidRPr="00FF4299">
        <w:rPr>
          <w:rFonts w:ascii="Arial" w:hAnsi="Arial" w:cs="Arial"/>
          <w:sz w:val="22"/>
          <w:szCs w:val="22"/>
        </w:rPr>
        <w:t xml:space="preserve">Indikátor </w:t>
      </w:r>
      <w:proofErr w:type="gramStart"/>
      <w:r w:rsidRPr="00FF4299">
        <w:rPr>
          <w:rFonts w:ascii="Arial" w:hAnsi="Arial" w:cs="Arial"/>
          <w:sz w:val="22"/>
          <w:szCs w:val="22"/>
        </w:rPr>
        <w:t>měří</w:t>
      </w:r>
      <w:proofErr w:type="gramEnd"/>
      <w:r w:rsidRPr="00FF4299">
        <w:rPr>
          <w:rFonts w:ascii="Arial" w:hAnsi="Arial" w:cs="Arial"/>
          <w:sz w:val="22"/>
          <w:szCs w:val="22"/>
        </w:rPr>
        <w:t xml:space="preserve"> </w:t>
      </w:r>
      <w:r w:rsidRPr="00FF4299">
        <w:rPr>
          <w:rFonts w:ascii="Arial" w:hAnsi="Arial" w:cs="Arial"/>
          <w:b/>
          <w:bCs/>
          <w:sz w:val="22"/>
          <w:szCs w:val="22"/>
        </w:rPr>
        <w:t>nově vytvořenou</w:t>
      </w:r>
      <w:r w:rsidRPr="00FF4299">
        <w:rPr>
          <w:rFonts w:ascii="Arial" w:hAnsi="Arial" w:cs="Arial"/>
          <w:sz w:val="22"/>
          <w:szCs w:val="22"/>
        </w:rPr>
        <w:t xml:space="preserve"> kapacitu </w:t>
      </w:r>
      <w:r w:rsidRPr="00FF4299">
        <w:rPr>
          <w:rFonts w:ascii="Arial" w:hAnsi="Arial" w:cs="Arial"/>
          <w:b/>
          <w:bCs/>
          <w:sz w:val="22"/>
          <w:szCs w:val="22"/>
        </w:rPr>
        <w:t>pobytových</w:t>
      </w:r>
      <w:r w:rsidRPr="00FF4299">
        <w:rPr>
          <w:rFonts w:ascii="Arial" w:hAnsi="Arial" w:cs="Arial"/>
          <w:sz w:val="22"/>
          <w:szCs w:val="22"/>
        </w:rPr>
        <w:t xml:space="preserve"> sociálních služeb. Kapacita je vyjádřena jako maximální odhadovaný počet osob, které je zařízení schopno nově obsloužit nebo se o ně starat alespoň jednou po dobu jednoho roku. Do indikátoru se nezapočítává kapacita v nemocničních zařízeních, dále kapacita, kterou lze považovat za bydlení či ubytování osob, ani kapacita péče o děti ve vzdělávacích centrech.</w:t>
      </w:r>
    </w:p>
    <w:p w14:paraId="0D81075C" w14:textId="77777777" w:rsidR="00FF4299" w:rsidRPr="00FF4299" w:rsidRDefault="00FF4299" w:rsidP="00FF4299">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FF4299">
        <w:rPr>
          <w:rFonts w:ascii="Arial" w:eastAsiaTheme="minorHAnsi" w:hAnsi="Arial" w:cs="Arial"/>
          <w:b/>
          <w:bCs/>
          <w:i/>
          <w:iCs/>
          <w:caps/>
          <w:color w:val="31849B" w:themeColor="accent5" w:themeShade="BF"/>
          <w:lang w:eastAsia="en-US"/>
        </w:rPr>
        <w:t>Upřesňující informace</w:t>
      </w:r>
    </w:p>
    <w:p w14:paraId="2A041B9B" w14:textId="25866332" w:rsidR="00FF4299" w:rsidRPr="00FF4299" w:rsidRDefault="00FF4299" w:rsidP="00FF4299">
      <w:pPr>
        <w:spacing w:after="240" w:line="276" w:lineRule="auto"/>
        <w:jc w:val="both"/>
        <w:rPr>
          <w:rFonts w:ascii="Arial" w:hAnsi="Arial" w:cs="Arial"/>
          <w:sz w:val="22"/>
          <w:szCs w:val="22"/>
        </w:rPr>
      </w:pPr>
      <w:r w:rsidRPr="00FF4299">
        <w:rPr>
          <w:rFonts w:ascii="Arial" w:hAnsi="Arial" w:cs="Arial"/>
          <w:sz w:val="22"/>
          <w:szCs w:val="22"/>
        </w:rPr>
        <w:t xml:space="preserve">Indikátor je povinný k výběru a naplnění pro projekty, které vytvářejí </w:t>
      </w:r>
      <w:r w:rsidRPr="00FF4299">
        <w:rPr>
          <w:rFonts w:ascii="Arial" w:hAnsi="Arial" w:cs="Arial"/>
          <w:sz w:val="22"/>
          <w:szCs w:val="22"/>
          <w:u w:val="single"/>
        </w:rPr>
        <w:t>novou kapacitu pobytových sociálních služeb</w:t>
      </w:r>
      <w:r w:rsidRPr="00FF4299">
        <w:rPr>
          <w:rFonts w:ascii="Arial" w:hAnsi="Arial" w:cs="Arial"/>
          <w:sz w:val="22"/>
          <w:szCs w:val="22"/>
        </w:rPr>
        <w:t>. Stávající kapacita (existující před realizací projektu), která je projektem dotčena</w:t>
      </w:r>
      <w:r>
        <w:rPr>
          <w:rFonts w:ascii="Arial" w:hAnsi="Arial" w:cs="Arial"/>
          <w:sz w:val="22"/>
          <w:szCs w:val="22"/>
        </w:rPr>
        <w:t xml:space="preserve"> (tedy zlepšena/modernizována)</w:t>
      </w:r>
      <w:r w:rsidRPr="00FF4299">
        <w:rPr>
          <w:rFonts w:ascii="Arial" w:hAnsi="Arial" w:cs="Arial"/>
          <w:sz w:val="22"/>
          <w:szCs w:val="22"/>
        </w:rPr>
        <w:t xml:space="preserve"> je vykazována v indikátoru </w:t>
      </w:r>
      <w:r w:rsidRPr="00FF4299">
        <w:rPr>
          <w:rFonts w:ascii="Arial" w:hAnsi="Arial" w:cs="Arial"/>
          <w:sz w:val="22"/>
          <w:szCs w:val="22"/>
          <w:u w:val="single"/>
        </w:rPr>
        <w:t>554 201- Rekonstruovaná či modernizovaná kapacita podpořených zařízení nepobytových sociálních služeb.</w:t>
      </w:r>
    </w:p>
    <w:p w14:paraId="7AA3D236" w14:textId="59E5B293" w:rsidR="00FF4299" w:rsidRPr="00FF4299" w:rsidRDefault="00FF4299" w:rsidP="00FF4299">
      <w:pPr>
        <w:spacing w:after="240" w:line="276" w:lineRule="auto"/>
        <w:jc w:val="both"/>
        <w:rPr>
          <w:rFonts w:ascii="Arial" w:hAnsi="Arial" w:cs="Arial"/>
          <w:sz w:val="22"/>
          <w:szCs w:val="22"/>
          <w:highlight w:val="lightGray"/>
        </w:rPr>
      </w:pPr>
      <w:r w:rsidRPr="00FF4299">
        <w:rPr>
          <w:rFonts w:ascii="Arial" w:hAnsi="Arial" w:cs="Arial"/>
          <w:sz w:val="22"/>
          <w:szCs w:val="22"/>
        </w:rPr>
        <w:t xml:space="preserve">Hodnoty indikátoru odpovídají projektem nově vytvořené </w:t>
      </w:r>
      <w:r w:rsidRPr="00FF4299">
        <w:rPr>
          <w:rFonts w:ascii="Arial" w:hAnsi="Arial" w:cs="Arial"/>
          <w:sz w:val="22"/>
          <w:szCs w:val="22"/>
          <w:u w:val="single"/>
        </w:rPr>
        <w:t>roční</w:t>
      </w:r>
      <w:r w:rsidRPr="00FF4299">
        <w:rPr>
          <w:rFonts w:ascii="Arial" w:hAnsi="Arial" w:cs="Arial"/>
          <w:sz w:val="22"/>
          <w:szCs w:val="22"/>
        </w:rPr>
        <w:t xml:space="preserve"> kapacitě zařízení, tedy maximálnímu odhadovanému počtu osob, které je zařízení schopno nově obsloužit nebo se o ně starat alespoň jednou po dobu jednoho roku.</w:t>
      </w:r>
      <w:r w:rsidR="00565A39">
        <w:rPr>
          <w:rFonts w:ascii="Arial" w:hAnsi="Arial" w:cs="Arial"/>
          <w:sz w:val="22"/>
          <w:szCs w:val="22"/>
        </w:rPr>
        <w:t xml:space="preserve"> Výpočet hodnot indikátoru je založen na zkušenostech žadatele, nebo informacích uvedených v registru sociálních služeb, či např. interní evidenci. Vypočet hodnot příjemce uvede v </w:t>
      </w:r>
      <w:r w:rsidR="00F5679B">
        <w:rPr>
          <w:rFonts w:ascii="Arial" w:hAnsi="Arial" w:cs="Arial"/>
          <w:sz w:val="22"/>
          <w:szCs w:val="22"/>
        </w:rPr>
        <w:t>podkladech pro hodnocení</w:t>
      </w:r>
      <w:r w:rsidR="00565A39">
        <w:rPr>
          <w:rFonts w:ascii="Arial" w:hAnsi="Arial" w:cs="Arial"/>
          <w:sz w:val="22"/>
          <w:szCs w:val="22"/>
        </w:rPr>
        <w:t>.</w:t>
      </w:r>
      <w:r w:rsidRPr="00FF4299">
        <w:rPr>
          <w:rFonts w:ascii="Arial" w:hAnsi="Arial" w:cs="Arial"/>
          <w:sz w:val="22"/>
          <w:szCs w:val="22"/>
        </w:rPr>
        <w:t xml:space="preserve"> </w:t>
      </w:r>
    </w:p>
    <w:p w14:paraId="79C457B3" w14:textId="77777777" w:rsidR="00FF4299" w:rsidRPr="00FF4299" w:rsidRDefault="00FF4299" w:rsidP="00FF4299">
      <w:pPr>
        <w:spacing w:before="240" w:after="240" w:line="276" w:lineRule="auto"/>
        <w:jc w:val="both"/>
        <w:rPr>
          <w:rFonts w:ascii="Arial" w:hAnsi="Arial" w:cs="Arial"/>
          <w:sz w:val="22"/>
          <w:szCs w:val="22"/>
        </w:rPr>
      </w:pPr>
      <w:r w:rsidRPr="00FF4299">
        <w:rPr>
          <w:rFonts w:ascii="Arial" w:hAnsi="Arial" w:cs="Arial"/>
          <w:sz w:val="22"/>
          <w:szCs w:val="22"/>
        </w:rPr>
        <w:t>Hodnota je vykazována s přesností na celé osoby.</w:t>
      </w:r>
    </w:p>
    <w:p w14:paraId="7C65786B" w14:textId="36440398" w:rsidR="00FF4299" w:rsidRDefault="00FF4299" w:rsidP="00FF4299">
      <w:pPr>
        <w:spacing w:line="276" w:lineRule="auto"/>
        <w:jc w:val="both"/>
        <w:rPr>
          <w:rFonts w:ascii="Arial" w:eastAsiaTheme="minorHAnsi" w:hAnsi="Arial" w:cs="Arial"/>
          <w:b/>
          <w:bCs/>
          <w:i/>
          <w:iCs/>
          <w:caps/>
          <w:color w:val="31849B" w:themeColor="accent5" w:themeShade="BF"/>
          <w:lang w:eastAsia="en-US"/>
        </w:rPr>
      </w:pPr>
      <w:r w:rsidRPr="00FF4299">
        <w:rPr>
          <w:rFonts w:ascii="Arial" w:eastAsiaTheme="minorHAnsi" w:hAnsi="Arial" w:cs="Arial"/>
          <w:b/>
          <w:bCs/>
          <w:i/>
          <w:iCs/>
          <w:caps/>
          <w:color w:val="31849B" w:themeColor="accent5" w:themeShade="BF"/>
          <w:lang w:eastAsia="en-US"/>
        </w:rPr>
        <w:t>postup vykazování</w:t>
      </w:r>
    </w:p>
    <w:p w14:paraId="0155BC31" w14:textId="77777777" w:rsidR="00A27628" w:rsidRPr="00171665" w:rsidRDefault="00A27628" w:rsidP="00A27628">
      <w:pPr>
        <w:spacing w:line="276" w:lineRule="auto"/>
        <w:jc w:val="both"/>
        <w:rPr>
          <w:rFonts w:ascii="Arial" w:hAnsi="Arial" w:cs="Arial"/>
          <w:sz w:val="20"/>
          <w:szCs w:val="20"/>
        </w:rPr>
      </w:pPr>
      <w:r w:rsidRPr="00171665">
        <w:rPr>
          <w:rFonts w:ascii="Arial" w:hAnsi="Arial" w:cs="Arial"/>
          <w:b/>
          <w:bCs/>
          <w:sz w:val="22"/>
          <w:szCs w:val="22"/>
        </w:rPr>
        <w:t xml:space="preserve">Výchozí hodnota: </w:t>
      </w:r>
      <w:r w:rsidRPr="00171665">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5E49C946" w14:textId="4352496F" w:rsidR="00FF4299" w:rsidRPr="00FF4299" w:rsidRDefault="00FF4299" w:rsidP="00171665">
      <w:pPr>
        <w:spacing w:before="120" w:after="120" w:line="276" w:lineRule="auto"/>
        <w:jc w:val="both"/>
        <w:rPr>
          <w:rFonts w:ascii="Arial" w:hAnsi="Arial" w:cs="Arial"/>
          <w:sz w:val="22"/>
          <w:szCs w:val="22"/>
        </w:rPr>
      </w:pPr>
      <w:r w:rsidRPr="00FF4299">
        <w:rPr>
          <w:rFonts w:ascii="Arial" w:hAnsi="Arial" w:cs="Arial"/>
          <w:b/>
          <w:bCs/>
          <w:sz w:val="22"/>
          <w:szCs w:val="22"/>
        </w:rPr>
        <w:t>Cílová hodnota:</w:t>
      </w:r>
      <w:r w:rsidRPr="00FF4299">
        <w:rPr>
          <w:rFonts w:ascii="Arial" w:hAnsi="Arial" w:cs="Arial"/>
          <w:sz w:val="22"/>
          <w:szCs w:val="22"/>
        </w:rPr>
        <w:t xml:space="preserve"> Roční kapacita podpořených zařízení pobytových sociálních služeb, které se žadatel zavazuje </w:t>
      </w:r>
      <w:r w:rsidRPr="00FF4299">
        <w:rPr>
          <w:rFonts w:ascii="Arial" w:hAnsi="Arial" w:cs="Arial"/>
          <w:color w:val="000000" w:themeColor="text1"/>
          <w:sz w:val="22"/>
          <w:szCs w:val="22"/>
        </w:rPr>
        <w:t xml:space="preserve">vytvořit. </w:t>
      </w:r>
      <w:r w:rsidRPr="00FF4299">
        <w:rPr>
          <w:rFonts w:ascii="Arial" w:hAnsi="Arial" w:cs="Arial"/>
          <w:b/>
          <w:bCs/>
          <w:sz w:val="22"/>
          <w:szCs w:val="22"/>
        </w:rPr>
        <w:t xml:space="preserve">Žadatel v </w:t>
      </w:r>
      <w:r w:rsidR="00F5679B">
        <w:rPr>
          <w:rFonts w:ascii="Arial" w:hAnsi="Arial" w:cs="Arial"/>
          <w:b/>
          <w:bCs/>
          <w:sz w:val="22"/>
          <w:szCs w:val="22"/>
        </w:rPr>
        <w:t>podkladech pro hodnocení</w:t>
      </w:r>
      <w:r w:rsidRPr="00FF4299">
        <w:rPr>
          <w:rFonts w:ascii="Arial" w:hAnsi="Arial" w:cs="Arial"/>
          <w:b/>
          <w:bCs/>
          <w:sz w:val="22"/>
          <w:szCs w:val="22"/>
        </w:rPr>
        <w:t xml:space="preserve"> uvede způsob výpočtu tak, aby jeho výsledek odpovídal cílové hodnotě a bylo možné ho ověřit. </w:t>
      </w:r>
      <w:r w:rsidRPr="00FF4299">
        <w:rPr>
          <w:rFonts w:ascii="Arial" w:hAnsi="Arial" w:cs="Arial"/>
          <w:sz w:val="22"/>
          <w:szCs w:val="22"/>
        </w:rPr>
        <w:t xml:space="preserve">Tuto hodnotu se příjemce zavazuje naplnit k datu </w:t>
      </w:r>
      <w:r w:rsidRPr="00FF4299">
        <w:rPr>
          <w:rFonts w:ascii="Arial" w:hAnsi="Arial" w:cs="Arial"/>
          <w:color w:val="000000" w:themeColor="text1"/>
          <w:sz w:val="22"/>
          <w:szCs w:val="22"/>
        </w:rPr>
        <w:t xml:space="preserve">ukončení realizace projektu </w:t>
      </w:r>
      <w:r w:rsidRPr="00FF4299">
        <w:rPr>
          <w:rFonts w:ascii="Arial" w:hAnsi="Arial" w:cs="Arial"/>
          <w:sz w:val="22"/>
          <w:szCs w:val="22"/>
        </w:rPr>
        <w:t xml:space="preserve">a od tohoto okamžiku udržet až do konce udržitelnosti projektu. </w:t>
      </w:r>
    </w:p>
    <w:p w14:paraId="4FBB6017" w14:textId="77777777" w:rsidR="00FF4299" w:rsidRPr="00FF4299" w:rsidRDefault="00FF4299" w:rsidP="00FF4299">
      <w:pPr>
        <w:spacing w:after="200" w:line="276" w:lineRule="auto"/>
        <w:jc w:val="both"/>
        <w:rPr>
          <w:rFonts w:ascii="Arial" w:hAnsi="Arial" w:cs="Arial"/>
          <w:sz w:val="22"/>
          <w:szCs w:val="22"/>
        </w:rPr>
      </w:pPr>
      <w:r w:rsidRPr="00FF4299">
        <w:rPr>
          <w:rFonts w:ascii="Arial" w:hAnsi="Arial" w:cs="Arial"/>
          <w:b/>
          <w:bCs/>
          <w:sz w:val="22"/>
          <w:szCs w:val="22"/>
        </w:rPr>
        <w:t>Datum cílové hodnoty:</w:t>
      </w:r>
      <w:r w:rsidRPr="00FF4299">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 </w:t>
      </w:r>
    </w:p>
    <w:p w14:paraId="62622E24" w14:textId="306F1EB2" w:rsidR="00FF4299" w:rsidRPr="00FF4299" w:rsidRDefault="00FF4299" w:rsidP="00FF4299">
      <w:pPr>
        <w:spacing w:after="200" w:line="276" w:lineRule="auto"/>
        <w:jc w:val="both"/>
        <w:rPr>
          <w:rFonts w:ascii="Arial" w:hAnsi="Arial" w:cs="Arial"/>
          <w:sz w:val="22"/>
          <w:szCs w:val="22"/>
        </w:rPr>
      </w:pPr>
      <w:r w:rsidRPr="00FF4299">
        <w:rPr>
          <w:rFonts w:ascii="Arial" w:hAnsi="Arial" w:cs="Arial"/>
          <w:sz w:val="22"/>
          <w:szCs w:val="22"/>
        </w:rPr>
        <w:t>Datum je nutné při případném prodloužení realizace projektu udržovat aktuální, tj. v souladu s</w:t>
      </w:r>
      <w:r w:rsidR="003352F8">
        <w:rPr>
          <w:rFonts w:ascii="Arial" w:hAnsi="Arial" w:cs="Arial"/>
          <w:sz w:val="22"/>
          <w:szCs w:val="22"/>
        </w:rPr>
        <w:t> </w:t>
      </w:r>
      <w:r w:rsidRPr="00FF4299">
        <w:rPr>
          <w:rFonts w:ascii="Arial" w:hAnsi="Arial" w:cs="Arial"/>
          <w:sz w:val="22"/>
          <w:szCs w:val="22"/>
        </w:rPr>
        <w:t>výše uvedeným.</w:t>
      </w:r>
    </w:p>
    <w:p w14:paraId="6B910879" w14:textId="770327B4" w:rsidR="00FF4299" w:rsidRPr="00FF4299" w:rsidRDefault="00FF4299" w:rsidP="00FF4299">
      <w:pPr>
        <w:spacing w:after="200" w:line="276" w:lineRule="auto"/>
        <w:jc w:val="both"/>
        <w:rPr>
          <w:rFonts w:ascii="Arial" w:hAnsi="Arial" w:cs="Arial"/>
          <w:sz w:val="22"/>
          <w:szCs w:val="22"/>
        </w:rPr>
      </w:pPr>
      <w:r w:rsidRPr="00FF4299">
        <w:rPr>
          <w:rFonts w:ascii="Arial" w:hAnsi="Arial" w:cs="Arial"/>
          <w:b/>
          <w:bCs/>
          <w:sz w:val="22"/>
          <w:szCs w:val="22"/>
        </w:rPr>
        <w:lastRenderedPageBreak/>
        <w:t>Dosažená hodnota:</w:t>
      </w:r>
      <w:r w:rsidRPr="00FF4299">
        <w:rPr>
          <w:rFonts w:ascii="Arial" w:hAnsi="Arial" w:cs="Arial"/>
          <w:sz w:val="22"/>
          <w:szCs w:val="22"/>
        </w:rPr>
        <w:t xml:space="preserve"> Skutečně vytvořená roční kapacita podpořených zařízení pobytových sociálních služeb. Hodnotu je nutné poprvé vykázat nejpozději k Rozhodnému datu, tedy v</w:t>
      </w:r>
      <w:r w:rsidR="003352F8">
        <w:rPr>
          <w:rFonts w:ascii="Arial" w:hAnsi="Arial" w:cs="Arial"/>
          <w:sz w:val="22"/>
          <w:szCs w:val="22"/>
        </w:rPr>
        <w:t> </w:t>
      </w:r>
      <w:r w:rsidRPr="00FF4299">
        <w:rPr>
          <w:rFonts w:ascii="Arial" w:hAnsi="Arial" w:cs="Arial"/>
          <w:sz w:val="22"/>
          <w:szCs w:val="22"/>
        </w:rPr>
        <w:t>Závěrečné zprávě o realizaci projektu k datu ukončení realizace projektu.</w:t>
      </w:r>
    </w:p>
    <w:p w14:paraId="35FEEB4A" w14:textId="77777777" w:rsidR="00FF4299" w:rsidRPr="00FF4299" w:rsidRDefault="00FF4299" w:rsidP="00FF4299">
      <w:pPr>
        <w:spacing w:after="200" w:line="276" w:lineRule="auto"/>
        <w:jc w:val="both"/>
        <w:rPr>
          <w:rFonts w:ascii="Arial" w:hAnsi="Arial" w:cs="Arial"/>
          <w:sz w:val="22"/>
          <w:szCs w:val="22"/>
        </w:rPr>
      </w:pPr>
      <w:r w:rsidRPr="00FF4299">
        <w:rPr>
          <w:rFonts w:ascii="Arial" w:hAnsi="Arial" w:cs="Arial"/>
          <w:sz w:val="22"/>
          <w:szCs w:val="22"/>
        </w:rPr>
        <w:t>Dosažená hodnota vykazovaná po Rozhodném datu se již váže k prokázání udržování výstupu projektu a je vykazována ve Zprávách o udržitelnosti projektu</w:t>
      </w:r>
      <w:r w:rsidRPr="00FF4299">
        <w:rPr>
          <w:rFonts w:ascii="Arial" w:hAnsi="Arial" w:cs="Arial"/>
          <w:color w:val="FF0000"/>
          <w:sz w:val="22"/>
          <w:szCs w:val="22"/>
        </w:rPr>
        <w:t xml:space="preserve"> </w:t>
      </w:r>
      <w:r w:rsidRPr="00FF4299">
        <w:rPr>
          <w:rFonts w:ascii="Arial" w:hAnsi="Arial" w:cs="Arial"/>
          <w:sz w:val="22"/>
          <w:szCs w:val="22"/>
        </w:rPr>
        <w:t>pouze v případě změny výše dosažené hodnoty, a to včetně popisu, kdy a proč ke změně došlo.</w:t>
      </w:r>
    </w:p>
    <w:p w14:paraId="0F954DED" w14:textId="77777777" w:rsidR="00FF4299" w:rsidRPr="00FF4299" w:rsidRDefault="00FF4299" w:rsidP="00FF4299">
      <w:pPr>
        <w:spacing w:line="276" w:lineRule="auto"/>
        <w:jc w:val="both"/>
        <w:rPr>
          <w:rFonts w:ascii="Arial" w:eastAsiaTheme="minorHAnsi" w:hAnsi="Arial" w:cs="Arial"/>
          <w:b/>
          <w:bCs/>
          <w:i/>
          <w:iCs/>
          <w:caps/>
          <w:color w:val="31849B" w:themeColor="accent5" w:themeShade="BF"/>
          <w:lang w:eastAsia="en-US"/>
        </w:rPr>
      </w:pPr>
      <w:r w:rsidRPr="00FF4299">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FF4299" w:rsidRPr="00FF4299" w14:paraId="0B4C04B0" w14:textId="77777777" w:rsidTr="00D91F67">
        <w:trPr>
          <w:trHeight w:val="1793"/>
        </w:trPr>
        <w:tc>
          <w:tcPr>
            <w:tcW w:w="4575" w:type="dxa"/>
            <w:shd w:val="clear" w:color="auto" w:fill="auto"/>
          </w:tcPr>
          <w:p w14:paraId="6DDB40FB" w14:textId="77777777" w:rsidR="00FF4299" w:rsidRPr="00D91F67" w:rsidRDefault="00FF4299" w:rsidP="00D91F67">
            <w:pPr>
              <w:spacing w:before="120" w:after="120" w:line="271" w:lineRule="auto"/>
              <w:ind w:left="52"/>
              <w:jc w:val="both"/>
              <w:rPr>
                <w:rFonts w:ascii="Arial" w:hAnsi="Arial" w:cs="Arial"/>
                <w:b/>
                <w:bCs/>
                <w:sz w:val="22"/>
                <w:szCs w:val="22"/>
              </w:rPr>
            </w:pPr>
            <w:r w:rsidRPr="00D91F67">
              <w:rPr>
                <w:rFonts w:ascii="Arial" w:hAnsi="Arial" w:cs="Arial"/>
                <w:b/>
                <w:bCs/>
                <w:sz w:val="22"/>
                <w:szCs w:val="22"/>
              </w:rPr>
              <w:t>V Závěrečné zprávě o realizaci projektu:</w:t>
            </w:r>
          </w:p>
          <w:p w14:paraId="0F58CCC1" w14:textId="77777777" w:rsidR="00FF4299" w:rsidRPr="00D91F67" w:rsidRDefault="00FF4299" w:rsidP="00D91F67">
            <w:pPr>
              <w:numPr>
                <w:ilvl w:val="0"/>
                <w:numId w:val="36"/>
              </w:numPr>
              <w:spacing w:before="120" w:after="120" w:line="271" w:lineRule="auto"/>
              <w:ind w:left="448" w:hanging="357"/>
              <w:contextualSpacing/>
              <w:jc w:val="both"/>
              <w:rPr>
                <w:rFonts w:ascii="Arial" w:hAnsi="Arial" w:cs="Arial"/>
                <w:sz w:val="22"/>
                <w:szCs w:val="22"/>
              </w:rPr>
            </w:pPr>
            <w:r w:rsidRPr="00D91F67">
              <w:rPr>
                <w:rFonts w:ascii="Arial" w:hAnsi="Arial" w:cs="Arial"/>
                <w:sz w:val="22"/>
                <w:szCs w:val="22"/>
              </w:rPr>
              <w:t xml:space="preserve">Fotodokumentace </w:t>
            </w:r>
          </w:p>
          <w:p w14:paraId="3E90C369" w14:textId="77777777" w:rsidR="00FF4299" w:rsidRPr="00D91F67" w:rsidRDefault="00FF4299" w:rsidP="00D91F67">
            <w:pPr>
              <w:numPr>
                <w:ilvl w:val="0"/>
                <w:numId w:val="36"/>
              </w:numPr>
              <w:spacing w:before="120" w:after="120" w:line="271" w:lineRule="auto"/>
              <w:ind w:left="448" w:hanging="357"/>
              <w:contextualSpacing/>
              <w:jc w:val="both"/>
              <w:rPr>
                <w:rFonts w:ascii="Arial" w:hAnsi="Arial" w:cs="Arial"/>
                <w:sz w:val="22"/>
                <w:szCs w:val="22"/>
              </w:rPr>
            </w:pPr>
            <w:r w:rsidRPr="00D91F67">
              <w:rPr>
                <w:rFonts w:ascii="Arial" w:hAnsi="Arial" w:cs="Arial"/>
                <w:sz w:val="22"/>
                <w:szCs w:val="22"/>
              </w:rPr>
              <w:t>Doklad o předání a převzetí díla</w:t>
            </w:r>
          </w:p>
          <w:p w14:paraId="52A56DE2" w14:textId="7C2B3014" w:rsidR="00FF4299" w:rsidRPr="00D91F67" w:rsidRDefault="00FF4299" w:rsidP="00D91F67">
            <w:pPr>
              <w:pStyle w:val="Odstavecseseznamem"/>
              <w:numPr>
                <w:ilvl w:val="0"/>
                <w:numId w:val="36"/>
              </w:numPr>
              <w:spacing w:before="120" w:after="120" w:line="271" w:lineRule="auto"/>
              <w:ind w:left="448" w:hanging="357"/>
              <w:jc w:val="both"/>
              <w:rPr>
                <w:rFonts w:ascii="Arial" w:hAnsi="Arial" w:cs="Arial"/>
                <w:sz w:val="22"/>
                <w:szCs w:val="22"/>
              </w:rPr>
            </w:pPr>
            <w:r w:rsidRPr="00D91F67">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shd w:val="clear" w:color="auto" w:fill="auto"/>
          </w:tcPr>
          <w:p w14:paraId="2F754FAB" w14:textId="77777777" w:rsidR="00FF4299" w:rsidRPr="00D91F67" w:rsidRDefault="00FF4299" w:rsidP="00D91F67">
            <w:pPr>
              <w:spacing w:before="120" w:after="120" w:line="271" w:lineRule="auto"/>
              <w:jc w:val="both"/>
              <w:rPr>
                <w:rFonts w:ascii="Arial" w:hAnsi="Arial" w:cs="Arial"/>
                <w:b/>
                <w:bCs/>
                <w:sz w:val="22"/>
                <w:szCs w:val="22"/>
              </w:rPr>
            </w:pPr>
            <w:r w:rsidRPr="00D91F67">
              <w:rPr>
                <w:rFonts w:ascii="Arial" w:hAnsi="Arial" w:cs="Arial"/>
                <w:b/>
                <w:bCs/>
                <w:sz w:val="22"/>
                <w:szCs w:val="22"/>
              </w:rPr>
              <w:t>V 1. Zprávě o udržitelnosti projektu:</w:t>
            </w:r>
            <w:r w:rsidRPr="00D91F67">
              <w:rPr>
                <w:rFonts w:ascii="Arial" w:hAnsi="Arial" w:cs="Arial"/>
                <w:b/>
                <w:bCs/>
                <w:sz w:val="28"/>
                <w:szCs w:val="28"/>
              </w:rPr>
              <w:t xml:space="preserve"> </w:t>
            </w:r>
          </w:p>
          <w:p w14:paraId="5695F992" w14:textId="59A1E3F8" w:rsidR="00053B39" w:rsidRPr="00D91F67" w:rsidRDefault="00565A39" w:rsidP="00D91F67">
            <w:pPr>
              <w:numPr>
                <w:ilvl w:val="0"/>
                <w:numId w:val="36"/>
              </w:numPr>
              <w:spacing w:before="120" w:after="120" w:line="271" w:lineRule="auto"/>
              <w:ind w:left="448" w:hanging="357"/>
              <w:jc w:val="both"/>
              <w:rPr>
                <w:rFonts w:ascii="Arial" w:hAnsi="Arial" w:cs="Arial"/>
                <w:b/>
                <w:bCs/>
                <w:sz w:val="22"/>
                <w:szCs w:val="22"/>
              </w:rPr>
            </w:pPr>
            <w:r w:rsidRPr="00D91F67">
              <w:rPr>
                <w:rFonts w:ascii="Arial" w:hAnsi="Arial" w:cs="Arial"/>
                <w:sz w:val="22"/>
                <w:szCs w:val="22"/>
              </w:rPr>
              <w:t>Kolaudační souhlas nebo kolaudační rozhodnutí, v případě že nedošlo k doložení při Závěrečné zprávě o realizaci projektu</w:t>
            </w:r>
          </w:p>
          <w:p w14:paraId="69BEDA59" w14:textId="3D964CD0" w:rsidR="0049432D" w:rsidRPr="00D91F67" w:rsidRDefault="0049432D" w:rsidP="00D91F67">
            <w:pPr>
              <w:spacing w:before="120" w:after="120" w:line="271" w:lineRule="auto"/>
              <w:jc w:val="both"/>
              <w:rPr>
                <w:rFonts w:ascii="Arial" w:hAnsi="Arial" w:cs="Arial"/>
                <w:b/>
                <w:bCs/>
                <w:sz w:val="22"/>
                <w:szCs w:val="22"/>
              </w:rPr>
            </w:pPr>
            <w:r w:rsidRPr="00D91F67">
              <w:rPr>
                <w:rFonts w:ascii="Arial" w:hAnsi="Arial" w:cs="Arial"/>
                <w:b/>
                <w:bCs/>
                <w:sz w:val="22"/>
                <w:szCs w:val="22"/>
              </w:rPr>
              <w:t>V</w:t>
            </w:r>
            <w:r w:rsidR="00391249" w:rsidRPr="00D91F67">
              <w:rPr>
                <w:rFonts w:ascii="Arial" w:hAnsi="Arial" w:cs="Arial"/>
                <w:b/>
                <w:bCs/>
                <w:sz w:val="22"/>
                <w:szCs w:val="22"/>
              </w:rPr>
              <w:t>e všech</w:t>
            </w:r>
            <w:r w:rsidRPr="00D91F67">
              <w:rPr>
                <w:rFonts w:ascii="Arial" w:hAnsi="Arial" w:cs="Arial"/>
                <w:b/>
                <w:bCs/>
                <w:sz w:val="22"/>
                <w:szCs w:val="22"/>
              </w:rPr>
              <w:t xml:space="preserve"> Zpráv</w:t>
            </w:r>
            <w:r w:rsidR="005F3564" w:rsidRPr="00D91F67">
              <w:rPr>
                <w:rFonts w:ascii="Arial" w:hAnsi="Arial" w:cs="Arial"/>
                <w:b/>
                <w:bCs/>
                <w:sz w:val="22"/>
                <w:szCs w:val="22"/>
              </w:rPr>
              <w:t>ách</w:t>
            </w:r>
            <w:r w:rsidRPr="00D91F67">
              <w:rPr>
                <w:rFonts w:ascii="Arial" w:hAnsi="Arial" w:cs="Arial"/>
                <w:b/>
                <w:bCs/>
                <w:sz w:val="22"/>
                <w:szCs w:val="22"/>
              </w:rPr>
              <w:t xml:space="preserve"> o udržitelnosti projektu</w:t>
            </w:r>
          </w:p>
          <w:p w14:paraId="7B26670B" w14:textId="166E33C2" w:rsidR="00053B39" w:rsidRPr="00D91F67" w:rsidRDefault="00900282" w:rsidP="00D91F67">
            <w:pPr>
              <w:numPr>
                <w:ilvl w:val="0"/>
                <w:numId w:val="36"/>
              </w:numPr>
              <w:spacing w:before="120" w:after="120" w:line="271" w:lineRule="auto"/>
              <w:contextualSpacing/>
              <w:jc w:val="both"/>
              <w:rPr>
                <w:rFonts w:ascii="Arial" w:hAnsi="Arial" w:cs="Arial"/>
                <w:b/>
                <w:bCs/>
                <w:sz w:val="22"/>
                <w:szCs w:val="22"/>
              </w:rPr>
            </w:pPr>
            <w:r w:rsidRPr="00D91F67">
              <w:rPr>
                <w:rFonts w:ascii="Arial" w:hAnsi="Arial" w:cs="Arial"/>
                <w:sz w:val="22"/>
                <w:szCs w:val="22"/>
              </w:rPr>
              <w:t xml:space="preserve">Dokumentace/interní evidence, ze které bude vyplývat skutečný </w:t>
            </w:r>
            <w:r w:rsidR="00DE17BD" w:rsidRPr="00D91F67">
              <w:rPr>
                <w:rFonts w:ascii="Arial" w:hAnsi="Arial" w:cs="Arial"/>
                <w:sz w:val="22"/>
                <w:szCs w:val="22"/>
              </w:rPr>
              <w:t>po</w:t>
            </w:r>
            <w:r w:rsidR="00053B39" w:rsidRPr="00D91F67">
              <w:rPr>
                <w:rFonts w:ascii="Arial" w:hAnsi="Arial" w:cs="Arial"/>
                <w:sz w:val="22"/>
                <w:szCs w:val="22"/>
              </w:rPr>
              <w:t>čet osob, které je zařízení schopno nově obsloužit nebo se o ně starat alespoň jednou po dobu jednoho roku</w:t>
            </w:r>
          </w:p>
        </w:tc>
      </w:tr>
    </w:tbl>
    <w:p w14:paraId="7E5C98CB" w14:textId="467489B9" w:rsidR="00FF4299" w:rsidRPr="00FF4299" w:rsidRDefault="00FF4299" w:rsidP="00FF4299">
      <w:pPr>
        <w:spacing w:before="120" w:after="200" w:line="276" w:lineRule="auto"/>
        <w:jc w:val="both"/>
        <w:rPr>
          <w:rFonts w:ascii="Arial" w:hAnsi="Arial" w:cs="Arial"/>
          <w:sz w:val="22"/>
          <w:szCs w:val="22"/>
        </w:rPr>
      </w:pPr>
      <w:r w:rsidRPr="00FF4299">
        <w:rPr>
          <w:rFonts w:ascii="Arial" w:hAnsi="Arial" w:cs="Arial"/>
          <w:sz w:val="22"/>
          <w:szCs w:val="22"/>
        </w:rPr>
        <w:t xml:space="preserve">Je nutné doložit </w:t>
      </w:r>
      <w:r w:rsidRPr="009B15A5">
        <w:rPr>
          <w:rFonts w:ascii="Arial" w:hAnsi="Arial" w:cs="Arial"/>
          <w:sz w:val="22"/>
          <w:szCs w:val="22"/>
        </w:rPr>
        <w:t>relevantní</w:t>
      </w:r>
      <w:r w:rsidRPr="00FF4299">
        <w:rPr>
          <w:rFonts w:ascii="Arial" w:hAnsi="Arial" w:cs="Arial"/>
          <w:sz w:val="22"/>
          <w:szCs w:val="22"/>
        </w:rPr>
        <w:t xml:space="preserve"> uvedené dokumenty. Pokud v době udržitelnosti dojde ke změnám, bude v nejbližší následující Zprávě o udržitelnosti projektu vykázána aktualizovaná hodnota, včetně data, od kterého platí. Zároveň budou opětovně dodány materiály pro její ověření.</w:t>
      </w:r>
    </w:p>
    <w:p w14:paraId="415EA12D" w14:textId="77777777" w:rsidR="00FF4299" w:rsidRPr="00FF4299" w:rsidRDefault="00FF4299" w:rsidP="00FF4299">
      <w:pPr>
        <w:keepNext/>
        <w:spacing w:line="276" w:lineRule="auto"/>
        <w:jc w:val="both"/>
        <w:rPr>
          <w:rFonts w:ascii="Arial" w:eastAsiaTheme="minorHAnsi" w:hAnsi="Arial" w:cs="Arial"/>
          <w:b/>
          <w:bCs/>
          <w:i/>
          <w:iCs/>
          <w:caps/>
          <w:color w:val="31849B" w:themeColor="accent5" w:themeShade="BF"/>
          <w:lang w:eastAsia="en-US"/>
        </w:rPr>
      </w:pPr>
      <w:r w:rsidRPr="00FF4299">
        <w:rPr>
          <w:rFonts w:ascii="Arial" w:eastAsiaTheme="minorHAnsi" w:hAnsi="Arial" w:cs="Arial"/>
          <w:b/>
          <w:bCs/>
          <w:i/>
          <w:iCs/>
          <w:caps/>
          <w:color w:val="31849B" w:themeColor="accent5" w:themeShade="BF"/>
          <w:lang w:eastAsia="en-US"/>
        </w:rPr>
        <w:t xml:space="preserve">TOLERANCE DOSAŽENÍ a udržení indikátoru </w:t>
      </w:r>
    </w:p>
    <w:p w14:paraId="665A17E2" w14:textId="67C6C5C1" w:rsidR="00FF4299" w:rsidRPr="00FF4299" w:rsidRDefault="00FF4299" w:rsidP="00FF4299">
      <w:pPr>
        <w:spacing w:after="200" w:line="276" w:lineRule="auto"/>
        <w:jc w:val="both"/>
        <w:rPr>
          <w:rFonts w:ascii="Arial" w:hAnsi="Arial" w:cs="Arial"/>
          <w:sz w:val="22"/>
          <w:szCs w:val="22"/>
          <w:highlight w:val="yellow"/>
        </w:rPr>
      </w:pPr>
      <w:r w:rsidRPr="009B15A5">
        <w:rPr>
          <w:rFonts w:ascii="Arial" w:hAnsi="Arial" w:cs="Arial"/>
          <w:sz w:val="22"/>
          <w:szCs w:val="22"/>
        </w:rPr>
        <w:t>S ohlede</w:t>
      </w:r>
      <w:r w:rsidR="00E639CD">
        <w:rPr>
          <w:rFonts w:ascii="Arial" w:hAnsi="Arial" w:cs="Arial"/>
          <w:sz w:val="22"/>
          <w:szCs w:val="22"/>
        </w:rPr>
        <w:t>m</w:t>
      </w:r>
      <w:r w:rsidRPr="009B15A5">
        <w:rPr>
          <w:rFonts w:ascii="Arial" w:hAnsi="Arial" w:cs="Arial"/>
          <w:sz w:val="22"/>
          <w:szCs w:val="22"/>
        </w:rPr>
        <w:t xml:space="preserve"> na fluktuaci, kter</w:t>
      </w:r>
      <w:r w:rsidR="00E14983">
        <w:rPr>
          <w:rFonts w:ascii="Arial" w:hAnsi="Arial" w:cs="Arial"/>
          <w:sz w:val="22"/>
          <w:szCs w:val="22"/>
        </w:rPr>
        <w:t>á</w:t>
      </w:r>
      <w:r w:rsidRPr="009B15A5">
        <w:rPr>
          <w:rFonts w:ascii="Arial" w:hAnsi="Arial" w:cs="Arial"/>
          <w:sz w:val="22"/>
          <w:szCs w:val="22"/>
        </w:rPr>
        <w:t xml:space="preserve"> může oblast poskytování sociálních služeb postihnout, činní </w:t>
      </w:r>
      <w:r w:rsidR="00D91F67">
        <w:rPr>
          <w:rFonts w:ascii="Arial" w:hAnsi="Arial" w:cs="Arial"/>
          <w:sz w:val="22"/>
          <w:szCs w:val="22"/>
        </w:rPr>
        <w:t>t</w:t>
      </w:r>
      <w:r w:rsidRPr="009B15A5">
        <w:rPr>
          <w:rFonts w:ascii="Arial" w:hAnsi="Arial" w:cs="Arial"/>
          <w:sz w:val="22"/>
          <w:szCs w:val="22"/>
        </w:rPr>
        <w:t xml:space="preserve">oleranční </w:t>
      </w:r>
      <w:r w:rsidRPr="00B22E1C">
        <w:rPr>
          <w:rFonts w:ascii="Arial" w:hAnsi="Arial" w:cs="Arial"/>
          <w:sz w:val="22"/>
          <w:szCs w:val="22"/>
        </w:rPr>
        <w:t xml:space="preserve">pásmo minus </w:t>
      </w:r>
      <w:r w:rsidR="00200CF0" w:rsidRPr="00B22E1C">
        <w:rPr>
          <w:rFonts w:ascii="Arial" w:hAnsi="Arial" w:cs="Arial"/>
          <w:sz w:val="22"/>
          <w:szCs w:val="22"/>
        </w:rPr>
        <w:t xml:space="preserve">20 </w:t>
      </w:r>
      <w:r w:rsidRPr="00B22E1C">
        <w:rPr>
          <w:rFonts w:ascii="Arial" w:hAnsi="Arial" w:cs="Arial"/>
          <w:sz w:val="22"/>
          <w:szCs w:val="22"/>
        </w:rPr>
        <w:t xml:space="preserve">% cílové </w:t>
      </w:r>
      <w:r w:rsidRPr="009B15A5">
        <w:rPr>
          <w:rFonts w:ascii="Arial" w:hAnsi="Arial" w:cs="Arial"/>
          <w:sz w:val="22"/>
          <w:szCs w:val="22"/>
        </w:rPr>
        <w:t>hodnoty indikátoru.</w:t>
      </w:r>
      <w:r w:rsidRPr="00FF4299">
        <w:rPr>
          <w:rFonts w:ascii="Arial" w:hAnsi="Arial" w:cs="Arial"/>
          <w:sz w:val="22"/>
          <w:szCs w:val="22"/>
        </w:rPr>
        <w:t xml:space="preserve"> Toto pásmo je pevně navázáno na cílovou hodnotu naplňovanou k Rozhodnému datu, ale platí i pro období udržitelnosti po Rozhodném datu</w:t>
      </w:r>
      <w:r w:rsidRPr="00FF4299">
        <w:rPr>
          <w:rFonts w:ascii="Arial" w:hAnsi="Arial" w:cs="Arial"/>
          <w:sz w:val="22"/>
          <w:szCs w:val="22"/>
          <w:vertAlign w:val="superscript"/>
        </w:rPr>
        <w:footnoteReference w:id="4"/>
      </w:r>
      <w:r w:rsidRPr="00FF4299">
        <w:rPr>
          <w:rFonts w:ascii="Arial" w:hAnsi="Arial" w:cs="Arial"/>
          <w:sz w:val="22"/>
          <w:szCs w:val="22"/>
        </w:rPr>
        <w:t>. Překročení stanovené cílové hodnoty není sankcionováno.</w:t>
      </w:r>
    </w:p>
    <w:p w14:paraId="29531F75" w14:textId="77777777" w:rsidR="00FF4299" w:rsidRPr="00FF4299" w:rsidRDefault="00FF4299" w:rsidP="00FF4299">
      <w:pPr>
        <w:spacing w:after="200" w:line="276" w:lineRule="auto"/>
        <w:jc w:val="both"/>
        <w:rPr>
          <w:rFonts w:ascii="Arial" w:hAnsi="Arial" w:cs="Arial"/>
          <w:sz w:val="22"/>
          <w:szCs w:val="22"/>
        </w:rPr>
      </w:pPr>
      <w:r w:rsidRPr="00FF4299">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74EA839F" w14:textId="71B80ECA" w:rsidR="00FF4299" w:rsidRPr="00FF4299" w:rsidRDefault="00FF4299" w:rsidP="00FF4299">
      <w:pPr>
        <w:spacing w:after="200" w:line="276" w:lineRule="auto"/>
        <w:jc w:val="both"/>
        <w:rPr>
          <w:rFonts w:ascii="Arial" w:hAnsi="Arial" w:cs="Arial"/>
          <w:sz w:val="22"/>
          <w:szCs w:val="22"/>
        </w:rPr>
      </w:pPr>
      <w:r w:rsidRPr="00FF4299">
        <w:rPr>
          <w:rFonts w:ascii="Arial" w:hAnsi="Arial" w:cs="Arial"/>
          <w:sz w:val="22"/>
          <w:szCs w:val="22"/>
        </w:rPr>
        <w:t xml:space="preserve">Když tak příjemce neučiní, zůstává cílová hodnota platná v nezměněné výši, a pokud bude vykázaná dosažená hodnota k Rozhodnému datu pod stanovenou tolerancí, bude postupováno dle Podmínek </w:t>
      </w:r>
      <w:r w:rsidRPr="009B15A5">
        <w:rPr>
          <w:rFonts w:ascii="Arial" w:hAnsi="Arial" w:cs="Arial"/>
          <w:sz w:val="22"/>
          <w:szCs w:val="22"/>
        </w:rPr>
        <w:t xml:space="preserve">Právního </w:t>
      </w:r>
      <w:r w:rsidRPr="00B22E1C">
        <w:rPr>
          <w:rFonts w:ascii="Arial" w:hAnsi="Arial" w:cs="Arial"/>
          <w:sz w:val="22"/>
          <w:szCs w:val="22"/>
        </w:rPr>
        <w:t>aktu / Rozhodnutí</w:t>
      </w:r>
      <w:r w:rsidRPr="009B15A5">
        <w:rPr>
          <w:rFonts w:ascii="Arial" w:hAnsi="Arial" w:cs="Arial"/>
          <w:sz w:val="22"/>
          <w:szCs w:val="22"/>
        </w:rPr>
        <w:t>,</w:t>
      </w:r>
      <w:r w:rsidRPr="00FF4299">
        <w:rPr>
          <w:rFonts w:ascii="Arial" w:hAnsi="Arial" w:cs="Arial"/>
          <w:sz w:val="22"/>
          <w:szCs w:val="22"/>
        </w:rPr>
        <w:t xml:space="preserve"> které stanoví konkrétní výši a typ sankce aplikované při nenaplnění cílové hodnoty indikátoru.</w:t>
      </w:r>
    </w:p>
    <w:p w14:paraId="77670CB6" w14:textId="49DE7FD2" w:rsidR="00906B27" w:rsidRDefault="00FF4299" w:rsidP="00D91F67">
      <w:pPr>
        <w:spacing w:after="200" w:line="276" w:lineRule="auto"/>
        <w:jc w:val="both"/>
        <w:rPr>
          <w:rStyle w:val="Zdraznnintenzivn"/>
          <w:rFonts w:ascii="Arial" w:eastAsiaTheme="minorHAnsi" w:hAnsi="Arial" w:cs="Arial"/>
          <w:caps/>
          <w:color w:val="31849B" w:themeColor="accent5" w:themeShade="BF"/>
          <w:highlight w:val="yellow"/>
          <w:lang w:eastAsia="en-US"/>
        </w:rPr>
      </w:pPr>
      <w:r w:rsidRPr="00FF4299">
        <w:rPr>
          <w:rFonts w:ascii="Arial" w:hAnsi="Arial" w:cs="Arial"/>
          <w:sz w:val="22"/>
          <w:szCs w:val="22"/>
        </w:rPr>
        <w:t xml:space="preserve">V době udržitelnosti již </w:t>
      </w:r>
      <w:r w:rsidRPr="00FF4299">
        <w:rPr>
          <w:rFonts w:ascii="Arial" w:hAnsi="Arial" w:cs="Arial"/>
          <w:b/>
          <w:bCs/>
          <w:sz w:val="22"/>
          <w:szCs w:val="22"/>
          <w:u w:val="single"/>
        </w:rPr>
        <w:t>nelze cílovou hodnotu upravit</w:t>
      </w:r>
      <w:r w:rsidRPr="00FF4299">
        <w:rPr>
          <w:rFonts w:ascii="Arial" w:hAnsi="Arial" w:cs="Arial"/>
          <w:sz w:val="22"/>
          <w:szCs w:val="22"/>
        </w:rPr>
        <w:t xml:space="preserve"> a zůstává zafixovaná ve výši platné k datu skutečného ukončení realizace projektu. Pokud bude (po Rozhodném datu) v období </w:t>
      </w:r>
      <w:r w:rsidRPr="00FF4299">
        <w:rPr>
          <w:rFonts w:ascii="Arial" w:hAnsi="Arial" w:cs="Arial"/>
          <w:sz w:val="22"/>
          <w:szCs w:val="22"/>
        </w:rPr>
        <w:lastRenderedPageBreak/>
        <w:t xml:space="preserve">udržitelnosti vykázaná dosažená hodnota pod stanovenou tolerancí, bude postupováno dle Podmínek </w:t>
      </w:r>
      <w:r w:rsidRPr="00B22E1C">
        <w:rPr>
          <w:rFonts w:ascii="Arial" w:hAnsi="Arial" w:cs="Arial"/>
          <w:sz w:val="22"/>
          <w:szCs w:val="22"/>
        </w:rPr>
        <w:t xml:space="preserve">Právního aktu / Rozhodnutí, které </w:t>
      </w:r>
      <w:r w:rsidRPr="00FF4299">
        <w:rPr>
          <w:rFonts w:ascii="Arial" w:hAnsi="Arial" w:cs="Arial"/>
          <w:sz w:val="22"/>
          <w:szCs w:val="22"/>
        </w:rPr>
        <w:t>stanoví konkrétní výš</w:t>
      </w:r>
      <w:r w:rsidR="005C71F1">
        <w:rPr>
          <w:rFonts w:ascii="Arial" w:hAnsi="Arial" w:cs="Arial"/>
          <w:sz w:val="22"/>
          <w:szCs w:val="22"/>
        </w:rPr>
        <w:t>i</w:t>
      </w:r>
      <w:r w:rsidRPr="00FF4299">
        <w:rPr>
          <w:rFonts w:ascii="Arial" w:hAnsi="Arial" w:cs="Arial"/>
          <w:sz w:val="22"/>
          <w:szCs w:val="22"/>
        </w:rPr>
        <w:t xml:space="preserve"> a typ sankce aplikované při neudržení cílové hodnoty indikátoru a to poměrově, vztaženo k délce období udržitelnosti, době neplnění a výši neplnění.</w:t>
      </w:r>
      <w:r w:rsidR="00906B27">
        <w:rPr>
          <w:rStyle w:val="Zdraznnintenzivn"/>
          <w:rFonts w:ascii="Arial" w:eastAsiaTheme="minorHAnsi" w:hAnsi="Arial" w:cs="Arial"/>
          <w:caps/>
          <w:color w:val="31849B" w:themeColor="accent5" w:themeShade="BF"/>
          <w:highlight w:val="yellow"/>
          <w:lang w:eastAsia="en-US"/>
        </w:rPr>
        <w:br w:type="page"/>
      </w:r>
    </w:p>
    <w:tbl>
      <w:tblPr>
        <w:tblpPr w:leftFromText="141" w:rightFromText="141" w:vertAnchor="text" w:horzAnchor="margin" w:tblpY="90"/>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906B27" w:rsidRPr="00906B27" w14:paraId="34B1530F" w14:textId="77777777" w:rsidTr="00906B27">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7E3E3CD9" w14:textId="77777777" w:rsidR="00906B27" w:rsidRPr="00906B27" w:rsidRDefault="00906B27" w:rsidP="00906B27">
            <w:pPr>
              <w:spacing w:line="276" w:lineRule="auto"/>
              <w:ind w:left="170" w:right="170"/>
              <w:jc w:val="center"/>
              <w:rPr>
                <w:rFonts w:ascii="Arial" w:eastAsiaTheme="minorHAnsi" w:hAnsi="Arial" w:cs="Arial"/>
                <w:b/>
                <w:bCs/>
                <w:color w:val="000000"/>
                <w:lang w:eastAsia="en-US"/>
              </w:rPr>
            </w:pPr>
            <w:r w:rsidRPr="00906B27">
              <w:rPr>
                <w:rFonts w:ascii="Arial" w:eastAsiaTheme="minorHAnsi" w:hAnsi="Arial" w:cs="Arial"/>
                <w:b/>
                <w:bCs/>
                <w:color w:val="000000"/>
                <w:lang w:eastAsia="en-US"/>
              </w:rPr>
              <w:lastRenderedPageBreak/>
              <w:t>METODICKÝ LIST INDIKÁTORU</w:t>
            </w:r>
          </w:p>
        </w:tc>
      </w:tr>
      <w:tr w:rsidR="00906B27" w:rsidRPr="00906B27" w14:paraId="50F72208" w14:textId="77777777" w:rsidTr="00906B27">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C349A" w14:textId="77777777" w:rsidR="00906B27" w:rsidRPr="00906B27" w:rsidRDefault="00906B27" w:rsidP="00906B27">
            <w:pPr>
              <w:spacing w:before="80" w:after="80" w:line="276" w:lineRule="auto"/>
              <w:ind w:left="57" w:right="57"/>
              <w:jc w:val="center"/>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ABCBA" w14:textId="77777777" w:rsidR="00906B27" w:rsidRPr="00906B27" w:rsidRDefault="00906B27" w:rsidP="00906B27">
            <w:pPr>
              <w:spacing w:before="80" w:after="80" w:line="276" w:lineRule="auto"/>
              <w:ind w:right="170"/>
              <w:jc w:val="center"/>
              <w:rPr>
                <w:rFonts w:ascii="Arial" w:eastAsiaTheme="minorHAnsi" w:hAnsi="Arial" w:cs="Arial"/>
                <w:b/>
                <w:bCs/>
                <w:color w:val="000000"/>
                <w:lang w:eastAsia="en-US"/>
              </w:rPr>
            </w:pPr>
            <w:r w:rsidRPr="00906B27">
              <w:rPr>
                <w:rFonts w:ascii="Arial" w:eastAsiaTheme="minorHAnsi" w:hAnsi="Arial" w:cs="Arial"/>
                <w:b/>
                <w:bCs/>
                <w:color w:val="000000"/>
                <w:lang w:eastAsia="en-US"/>
              </w:rPr>
              <w:t>554 201 - Rekonstruovaná či modernizovaná kapacita podpořených zařízení pobytových sociálních služeb</w:t>
            </w:r>
          </w:p>
        </w:tc>
      </w:tr>
      <w:tr w:rsidR="00906B27" w:rsidRPr="00906B27" w14:paraId="3ACE5761" w14:textId="77777777" w:rsidTr="00906B27">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33E16D6A" w14:textId="77777777" w:rsidR="00906B27" w:rsidRPr="00906B27" w:rsidRDefault="00906B27" w:rsidP="00906B27">
            <w:pPr>
              <w:spacing w:line="276" w:lineRule="auto"/>
              <w:ind w:left="57" w:right="57"/>
              <w:jc w:val="center"/>
              <w:outlineLvl w:val="0"/>
              <w:rPr>
                <w:rFonts w:ascii="Arial" w:eastAsiaTheme="minorHAnsi" w:hAnsi="Arial" w:cs="Arial"/>
                <w:b/>
                <w:bCs/>
                <w:caps/>
                <w:color w:val="000000"/>
                <w:lang w:eastAsia="en-US"/>
              </w:rPr>
            </w:pPr>
            <w:r w:rsidRPr="00906B27">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6A2F538C"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34A50C1C"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Typ indikátoru</w:t>
            </w:r>
          </w:p>
        </w:tc>
      </w:tr>
      <w:tr w:rsidR="00906B27" w:rsidRPr="00906B27" w14:paraId="3915AA61" w14:textId="77777777" w:rsidTr="00906B27">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8FAE97A" w14:textId="46D7FC25"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 xml:space="preserve">IROP </w:t>
            </w:r>
            <w:r w:rsidR="00D75F24">
              <w:rPr>
                <w:rFonts w:ascii="Arial" w:eastAsiaTheme="minorHAnsi" w:hAnsi="Arial" w:cs="Arial"/>
                <w:b/>
                <w:bCs/>
                <w:color w:val="000000"/>
                <w:sz w:val="22"/>
                <w:szCs w:val="22"/>
                <w:lang w:eastAsia="en-US"/>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6CDB9A80"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lang w:eastAsia="en-US"/>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FC30EA5"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výstup</w:t>
            </w:r>
          </w:p>
        </w:tc>
      </w:tr>
    </w:tbl>
    <w:p w14:paraId="0ADD1AA7" w14:textId="77777777" w:rsidR="00906B27" w:rsidRPr="00906B27" w:rsidRDefault="00906B27" w:rsidP="00906B27">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 xml:space="preserve">Definice indikátoru </w:t>
      </w:r>
    </w:p>
    <w:p w14:paraId="5F542BC4" w14:textId="6B19052E" w:rsidR="00906B27" w:rsidRPr="00906B27" w:rsidRDefault="00FF4299" w:rsidP="00906B27">
      <w:pPr>
        <w:spacing w:after="200" w:line="276" w:lineRule="auto"/>
        <w:jc w:val="both"/>
        <w:rPr>
          <w:rFonts w:ascii="Arial" w:hAnsi="Arial" w:cs="Arial"/>
          <w:sz w:val="22"/>
          <w:szCs w:val="22"/>
        </w:rPr>
      </w:pPr>
      <w:r w:rsidRPr="00FF4299">
        <w:rPr>
          <w:rFonts w:ascii="Arial" w:hAnsi="Arial" w:cs="Arial"/>
          <w:sz w:val="22"/>
          <w:szCs w:val="22"/>
        </w:rPr>
        <w:t xml:space="preserve">Indikátor </w:t>
      </w:r>
      <w:proofErr w:type="gramStart"/>
      <w:r w:rsidRPr="00FF4299">
        <w:rPr>
          <w:rFonts w:ascii="Arial" w:hAnsi="Arial" w:cs="Arial"/>
          <w:sz w:val="22"/>
          <w:szCs w:val="22"/>
        </w:rPr>
        <w:t>měří</w:t>
      </w:r>
      <w:proofErr w:type="gramEnd"/>
      <w:r w:rsidRPr="00FF4299">
        <w:rPr>
          <w:rFonts w:ascii="Arial" w:hAnsi="Arial" w:cs="Arial"/>
          <w:sz w:val="22"/>
          <w:szCs w:val="22"/>
        </w:rPr>
        <w:t xml:space="preserve"> stávající modernizovanou kapacitu pobytových sociálních služeb. Kapacita je vyjádřena jako maximální odhadovaný počet osob, které je zařízení schopno lépe obsloužit nebo se o ně starat alespoň jednou po dobu jednoho roku. Do indikátoru se nezapočítává kapacita v nemocničních zařízeních, dále kapacita, kterou lze považovat za bydlení či ubytování osob, ani kapacita péče o děti ve vzdělávacích centrech.</w:t>
      </w:r>
    </w:p>
    <w:p w14:paraId="3B1FF9C3" w14:textId="77777777" w:rsidR="00906B27" w:rsidRPr="00906B27" w:rsidRDefault="00906B27" w:rsidP="00906B27">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Upřesňující informace</w:t>
      </w:r>
    </w:p>
    <w:p w14:paraId="6D03DCAB" w14:textId="666E4A45" w:rsidR="00FF4299" w:rsidRPr="00906B27" w:rsidRDefault="00FF4299" w:rsidP="00D91F67">
      <w:pPr>
        <w:spacing w:before="120" w:after="240" w:line="271" w:lineRule="auto"/>
        <w:jc w:val="both"/>
        <w:rPr>
          <w:rFonts w:ascii="Arial" w:hAnsi="Arial" w:cs="Arial"/>
          <w:sz w:val="22"/>
          <w:szCs w:val="22"/>
        </w:rPr>
      </w:pPr>
      <w:r w:rsidRPr="00E45645">
        <w:rPr>
          <w:rFonts w:ascii="Arial" w:hAnsi="Arial" w:cs="Arial"/>
          <w:sz w:val="22"/>
          <w:szCs w:val="22"/>
        </w:rPr>
        <w:t xml:space="preserve">Indikátor je povinný k výběru a naplnění pro projekty, </w:t>
      </w:r>
      <w:r>
        <w:rPr>
          <w:rFonts w:ascii="Arial" w:hAnsi="Arial" w:cs="Arial"/>
          <w:sz w:val="22"/>
          <w:szCs w:val="22"/>
        </w:rPr>
        <w:t>u kterých dochází k podpoře již existující (stávající) kapacity</w:t>
      </w:r>
      <w:r w:rsidR="00486775">
        <w:rPr>
          <w:rFonts w:ascii="Arial" w:hAnsi="Arial" w:cs="Arial"/>
          <w:sz w:val="22"/>
          <w:szCs w:val="22"/>
        </w:rPr>
        <w:t xml:space="preserve"> pobytových sociálních služeb</w:t>
      </w:r>
      <w:r>
        <w:rPr>
          <w:rFonts w:ascii="Arial" w:hAnsi="Arial" w:cs="Arial"/>
          <w:sz w:val="22"/>
          <w:szCs w:val="22"/>
        </w:rPr>
        <w:t xml:space="preserve">. Nově vytvářená kapacita </w:t>
      </w:r>
      <w:r w:rsidR="00486775">
        <w:rPr>
          <w:rFonts w:ascii="Arial" w:hAnsi="Arial" w:cs="Arial"/>
          <w:sz w:val="22"/>
          <w:szCs w:val="22"/>
        </w:rPr>
        <w:t xml:space="preserve">sociálních </w:t>
      </w:r>
      <w:r>
        <w:rPr>
          <w:rFonts w:ascii="Arial" w:hAnsi="Arial" w:cs="Arial"/>
          <w:sz w:val="22"/>
          <w:szCs w:val="22"/>
        </w:rPr>
        <w:t xml:space="preserve">pobytových služeb je vykazována v indikátoru </w:t>
      </w:r>
      <w:r w:rsidRPr="00FF4299">
        <w:rPr>
          <w:rFonts w:ascii="Arial" w:hAnsi="Arial" w:cs="Arial"/>
          <w:sz w:val="22"/>
          <w:szCs w:val="22"/>
        </w:rPr>
        <w:t xml:space="preserve">- </w:t>
      </w:r>
      <w:r w:rsidR="00486775" w:rsidRPr="00486775">
        <w:rPr>
          <w:rFonts w:ascii="Arial" w:hAnsi="Arial" w:cs="Arial"/>
          <w:sz w:val="22"/>
          <w:szCs w:val="22"/>
        </w:rPr>
        <w:t>554 101 - Nová kapacita podpořených zařízení pobytových sociálních služeb</w:t>
      </w:r>
    </w:p>
    <w:p w14:paraId="1D87BA3D" w14:textId="09F313D7" w:rsidR="00857DA5" w:rsidRPr="00906B27" w:rsidRDefault="00FF4299" w:rsidP="00D91F67">
      <w:pPr>
        <w:spacing w:before="120" w:after="240" w:line="271" w:lineRule="auto"/>
        <w:jc w:val="both"/>
        <w:rPr>
          <w:rFonts w:ascii="Arial" w:hAnsi="Arial" w:cs="Arial"/>
          <w:sz w:val="22"/>
          <w:szCs w:val="22"/>
          <w:highlight w:val="lightGray"/>
        </w:rPr>
      </w:pPr>
      <w:r>
        <w:rPr>
          <w:rFonts w:ascii="Arial" w:hAnsi="Arial" w:cs="Arial"/>
          <w:sz w:val="22"/>
          <w:szCs w:val="22"/>
        </w:rPr>
        <w:t xml:space="preserve">Hodnoty indikátoru odpovídají projektem podpořené existující </w:t>
      </w:r>
      <w:r w:rsidRPr="00E45645">
        <w:rPr>
          <w:rFonts w:ascii="Arial" w:hAnsi="Arial" w:cs="Arial"/>
          <w:sz w:val="22"/>
          <w:szCs w:val="22"/>
          <w:u w:val="single"/>
        </w:rPr>
        <w:t>roční</w:t>
      </w:r>
      <w:r>
        <w:rPr>
          <w:rFonts w:ascii="Arial" w:hAnsi="Arial" w:cs="Arial"/>
          <w:sz w:val="22"/>
          <w:szCs w:val="22"/>
        </w:rPr>
        <w:t xml:space="preserve"> kapacitě zařízení, tedy</w:t>
      </w:r>
      <w:r w:rsidRPr="00E45645">
        <w:rPr>
          <w:rFonts w:ascii="Arial" w:hAnsi="Arial" w:cs="Arial"/>
          <w:sz w:val="22"/>
          <w:szCs w:val="22"/>
        </w:rPr>
        <w:t xml:space="preserve"> maximální</w:t>
      </w:r>
      <w:r>
        <w:rPr>
          <w:rFonts w:ascii="Arial" w:hAnsi="Arial" w:cs="Arial"/>
          <w:sz w:val="22"/>
          <w:szCs w:val="22"/>
        </w:rPr>
        <w:t xml:space="preserve">mu </w:t>
      </w:r>
      <w:r w:rsidRPr="00E45645">
        <w:rPr>
          <w:rFonts w:ascii="Arial" w:hAnsi="Arial" w:cs="Arial"/>
          <w:sz w:val="22"/>
          <w:szCs w:val="22"/>
        </w:rPr>
        <w:t>odhadovan</w:t>
      </w:r>
      <w:r>
        <w:rPr>
          <w:rFonts w:ascii="Arial" w:hAnsi="Arial" w:cs="Arial"/>
          <w:sz w:val="22"/>
          <w:szCs w:val="22"/>
        </w:rPr>
        <w:t>ému</w:t>
      </w:r>
      <w:r w:rsidRPr="00E45645">
        <w:rPr>
          <w:rFonts w:ascii="Arial" w:hAnsi="Arial" w:cs="Arial"/>
          <w:sz w:val="22"/>
          <w:szCs w:val="22"/>
        </w:rPr>
        <w:t xml:space="preserve"> počt</w:t>
      </w:r>
      <w:r>
        <w:rPr>
          <w:rFonts w:ascii="Arial" w:hAnsi="Arial" w:cs="Arial"/>
          <w:sz w:val="22"/>
          <w:szCs w:val="22"/>
        </w:rPr>
        <w:t>u</w:t>
      </w:r>
      <w:r w:rsidRPr="00E45645">
        <w:rPr>
          <w:rFonts w:ascii="Arial" w:hAnsi="Arial" w:cs="Arial"/>
          <w:sz w:val="22"/>
          <w:szCs w:val="22"/>
        </w:rPr>
        <w:t xml:space="preserve"> osob, které je zařízení schopno </w:t>
      </w:r>
      <w:r w:rsidR="00565A39">
        <w:rPr>
          <w:rFonts w:ascii="Arial" w:hAnsi="Arial" w:cs="Arial"/>
          <w:sz w:val="22"/>
          <w:szCs w:val="22"/>
        </w:rPr>
        <w:t>lépe</w:t>
      </w:r>
      <w:r w:rsidRPr="00E45645">
        <w:rPr>
          <w:rFonts w:ascii="Arial" w:hAnsi="Arial" w:cs="Arial"/>
          <w:sz w:val="22"/>
          <w:szCs w:val="22"/>
        </w:rPr>
        <w:t xml:space="preserve"> obsloužit nebo se o ně starat alespoň jednou po dobu jednoho roku</w:t>
      </w:r>
      <w:r>
        <w:rPr>
          <w:rFonts w:ascii="Arial" w:hAnsi="Arial" w:cs="Arial"/>
          <w:sz w:val="22"/>
          <w:szCs w:val="22"/>
        </w:rPr>
        <w:t>.</w:t>
      </w:r>
      <w:r w:rsidR="00857DA5">
        <w:rPr>
          <w:rFonts w:ascii="Arial" w:hAnsi="Arial" w:cs="Arial"/>
          <w:sz w:val="22"/>
          <w:szCs w:val="22"/>
        </w:rPr>
        <w:t xml:space="preserve"> Výpočet hodnot indikátoru je založen na zkušenostech žadatele, nebo informacích uvedených v registru sociálních služeb, či např. interní evidenci. Vypočet hodnot příjemce uvede v </w:t>
      </w:r>
      <w:r w:rsidR="005B0D50">
        <w:rPr>
          <w:rFonts w:ascii="Arial" w:hAnsi="Arial" w:cs="Arial"/>
          <w:sz w:val="22"/>
          <w:szCs w:val="22"/>
        </w:rPr>
        <w:t>podkladech pro hodnocení</w:t>
      </w:r>
      <w:r w:rsidR="00857DA5">
        <w:rPr>
          <w:rFonts w:ascii="Arial" w:hAnsi="Arial" w:cs="Arial"/>
          <w:sz w:val="22"/>
          <w:szCs w:val="22"/>
        </w:rPr>
        <w:t>.</w:t>
      </w:r>
    </w:p>
    <w:p w14:paraId="45728AA5" w14:textId="5B10A601" w:rsidR="00FF4299" w:rsidRPr="00906B27" w:rsidRDefault="00FF4299" w:rsidP="00D91F67">
      <w:pPr>
        <w:spacing w:before="120" w:after="240" w:line="271" w:lineRule="auto"/>
        <w:jc w:val="both"/>
        <w:rPr>
          <w:rFonts w:ascii="Arial" w:hAnsi="Arial" w:cs="Arial"/>
          <w:sz w:val="22"/>
          <w:szCs w:val="22"/>
        </w:rPr>
      </w:pPr>
      <w:r>
        <w:rPr>
          <w:rFonts w:ascii="Arial" w:hAnsi="Arial" w:cs="Arial"/>
          <w:sz w:val="22"/>
          <w:szCs w:val="22"/>
        </w:rPr>
        <w:t xml:space="preserve"> </w:t>
      </w:r>
      <w:r w:rsidRPr="00E45645">
        <w:rPr>
          <w:rFonts w:ascii="Arial" w:hAnsi="Arial" w:cs="Arial"/>
          <w:sz w:val="22"/>
          <w:szCs w:val="22"/>
        </w:rPr>
        <w:t>Hodnota je vykazována s přesností na celé osoby.</w:t>
      </w:r>
    </w:p>
    <w:p w14:paraId="22447482" w14:textId="77777777" w:rsidR="00906B27" w:rsidRPr="00906B27" w:rsidRDefault="00906B27" w:rsidP="00906B27">
      <w:pPr>
        <w:spacing w:line="276" w:lineRule="auto"/>
        <w:jc w:val="both"/>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postup vykazování</w:t>
      </w:r>
    </w:p>
    <w:p w14:paraId="457493B2" w14:textId="77777777" w:rsidR="00A27628" w:rsidRPr="000B7CD3" w:rsidRDefault="00A27628" w:rsidP="00A27628">
      <w:pPr>
        <w:spacing w:line="276" w:lineRule="auto"/>
        <w:jc w:val="both"/>
        <w:rPr>
          <w:rFonts w:ascii="Arial" w:hAnsi="Arial" w:cs="Arial"/>
          <w:sz w:val="20"/>
          <w:szCs w:val="20"/>
        </w:rPr>
      </w:pPr>
      <w:r w:rsidRPr="000B7CD3">
        <w:rPr>
          <w:rFonts w:ascii="Arial" w:hAnsi="Arial" w:cs="Arial"/>
          <w:b/>
          <w:bCs/>
          <w:sz w:val="22"/>
          <w:szCs w:val="22"/>
        </w:rPr>
        <w:t xml:space="preserve">Výchozí hodnota: </w:t>
      </w:r>
      <w:r w:rsidRPr="000B7CD3">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172FF0AF" w14:textId="7440FAFF" w:rsidR="00486775" w:rsidRPr="009A4CBD" w:rsidRDefault="00486775" w:rsidP="00171665">
      <w:pPr>
        <w:spacing w:before="120" w:after="120" w:line="276" w:lineRule="auto"/>
        <w:jc w:val="both"/>
        <w:rPr>
          <w:rFonts w:ascii="Arial" w:hAnsi="Arial" w:cs="Arial"/>
          <w:sz w:val="22"/>
          <w:szCs w:val="22"/>
        </w:rPr>
      </w:pPr>
      <w:r w:rsidRPr="009A4CBD">
        <w:rPr>
          <w:rFonts w:ascii="Arial" w:hAnsi="Arial" w:cs="Arial"/>
          <w:b/>
          <w:bCs/>
          <w:sz w:val="22"/>
          <w:szCs w:val="22"/>
        </w:rPr>
        <w:t>Cílová hodnota:</w:t>
      </w:r>
      <w:r w:rsidRPr="009A4CBD">
        <w:rPr>
          <w:rFonts w:ascii="Arial" w:hAnsi="Arial" w:cs="Arial"/>
          <w:sz w:val="22"/>
          <w:szCs w:val="22"/>
        </w:rPr>
        <w:t xml:space="preserve"> </w:t>
      </w:r>
      <w:r w:rsidRPr="00486775">
        <w:rPr>
          <w:rFonts w:ascii="Arial" w:hAnsi="Arial" w:cs="Arial"/>
          <w:sz w:val="22"/>
          <w:szCs w:val="22"/>
        </w:rPr>
        <w:t xml:space="preserve">Roční kapacita pobytových sociálních </w:t>
      </w:r>
      <w:r>
        <w:rPr>
          <w:rFonts w:ascii="Arial" w:hAnsi="Arial" w:cs="Arial"/>
          <w:sz w:val="22"/>
          <w:szCs w:val="22"/>
        </w:rPr>
        <w:t xml:space="preserve">služeb, </w:t>
      </w:r>
      <w:r w:rsidRPr="00486775">
        <w:rPr>
          <w:rFonts w:ascii="Arial" w:hAnsi="Arial" w:cs="Arial"/>
          <w:sz w:val="22"/>
          <w:szCs w:val="22"/>
        </w:rPr>
        <w:t>kter</w:t>
      </w:r>
      <w:r>
        <w:rPr>
          <w:rFonts w:ascii="Arial" w:hAnsi="Arial" w:cs="Arial"/>
          <w:sz w:val="22"/>
          <w:szCs w:val="22"/>
        </w:rPr>
        <w:t>ou</w:t>
      </w:r>
      <w:r w:rsidRPr="00486775">
        <w:rPr>
          <w:rFonts w:ascii="Arial" w:hAnsi="Arial" w:cs="Arial"/>
          <w:sz w:val="22"/>
          <w:szCs w:val="22"/>
        </w:rPr>
        <w:t xml:space="preserve"> se žadatel zavazuje</w:t>
      </w:r>
      <w:r>
        <w:rPr>
          <w:rFonts w:ascii="Arial" w:hAnsi="Arial" w:cs="Arial"/>
          <w:sz w:val="22"/>
          <w:szCs w:val="22"/>
        </w:rPr>
        <w:t xml:space="preserve"> vylepšit, či jinak</w:t>
      </w:r>
      <w:r w:rsidRPr="00486775">
        <w:rPr>
          <w:rFonts w:ascii="Arial" w:hAnsi="Arial" w:cs="Arial"/>
          <w:sz w:val="22"/>
          <w:szCs w:val="22"/>
        </w:rPr>
        <w:t xml:space="preserve"> </w:t>
      </w:r>
      <w:r>
        <w:rPr>
          <w:rFonts w:ascii="Arial" w:hAnsi="Arial" w:cs="Arial"/>
          <w:sz w:val="22"/>
          <w:szCs w:val="22"/>
        </w:rPr>
        <w:t>podpořit</w:t>
      </w:r>
      <w:r w:rsidRPr="00486775">
        <w:rPr>
          <w:rFonts w:ascii="Arial" w:hAnsi="Arial" w:cs="Arial"/>
          <w:sz w:val="22"/>
          <w:szCs w:val="22"/>
        </w:rPr>
        <w:t>.</w:t>
      </w:r>
      <w:r w:rsidRPr="00486775">
        <w:rPr>
          <w:rFonts w:ascii="Arial" w:hAnsi="Arial" w:cs="Arial"/>
          <w:color w:val="000000" w:themeColor="text1"/>
          <w:sz w:val="22"/>
          <w:szCs w:val="22"/>
        </w:rPr>
        <w:t xml:space="preserve"> </w:t>
      </w:r>
      <w:r w:rsidRPr="00486775">
        <w:rPr>
          <w:rFonts w:ascii="Arial" w:hAnsi="Arial" w:cs="Arial"/>
          <w:b/>
          <w:bCs/>
          <w:sz w:val="22"/>
          <w:szCs w:val="22"/>
        </w:rPr>
        <w:t xml:space="preserve">Žadatel v </w:t>
      </w:r>
      <w:r w:rsidR="00AC5B2C">
        <w:rPr>
          <w:rFonts w:ascii="Arial" w:hAnsi="Arial" w:cs="Arial"/>
          <w:b/>
          <w:bCs/>
          <w:sz w:val="22"/>
          <w:szCs w:val="22"/>
        </w:rPr>
        <w:t>podkladech pro hodnocení</w:t>
      </w:r>
      <w:r w:rsidRPr="00486775">
        <w:rPr>
          <w:rFonts w:ascii="Arial" w:hAnsi="Arial" w:cs="Arial"/>
          <w:b/>
          <w:bCs/>
          <w:sz w:val="22"/>
          <w:szCs w:val="22"/>
        </w:rPr>
        <w:t xml:space="preserve"> uvede způsob výpočtu tak, aby jeho výsledek odpovídal cílové hodnotě a bylo možné ho ověřit. </w:t>
      </w:r>
      <w:r w:rsidRPr="00486775">
        <w:rPr>
          <w:rFonts w:ascii="Arial" w:hAnsi="Arial" w:cs="Arial"/>
          <w:sz w:val="22"/>
          <w:szCs w:val="22"/>
        </w:rPr>
        <w:t xml:space="preserve">Tuto hodnotu se příjemce zavazuje naplnit k datu </w:t>
      </w:r>
      <w:r w:rsidRPr="00486775">
        <w:rPr>
          <w:rFonts w:ascii="Arial" w:hAnsi="Arial" w:cs="Arial"/>
          <w:color w:val="000000" w:themeColor="text1"/>
          <w:sz w:val="22"/>
          <w:szCs w:val="22"/>
        </w:rPr>
        <w:t xml:space="preserve">ukončení realizace projektu </w:t>
      </w:r>
      <w:r w:rsidRPr="00486775">
        <w:rPr>
          <w:rFonts w:ascii="Arial" w:hAnsi="Arial" w:cs="Arial"/>
          <w:sz w:val="22"/>
          <w:szCs w:val="22"/>
        </w:rPr>
        <w:t>a od tohoto okamžiku udržet až do konce udržitelnosti projektu.</w:t>
      </w:r>
      <w:r w:rsidRPr="009A4CBD">
        <w:rPr>
          <w:rFonts w:ascii="Arial" w:hAnsi="Arial" w:cs="Arial"/>
          <w:sz w:val="22"/>
          <w:szCs w:val="22"/>
        </w:rPr>
        <w:t xml:space="preserve"> </w:t>
      </w:r>
    </w:p>
    <w:p w14:paraId="25313687" w14:textId="77777777" w:rsidR="00486775" w:rsidRPr="003E3EA1" w:rsidRDefault="00486775" w:rsidP="00486775">
      <w:pPr>
        <w:spacing w:after="200" w:line="276" w:lineRule="auto"/>
        <w:jc w:val="both"/>
        <w:rPr>
          <w:rFonts w:ascii="Arial" w:hAnsi="Arial" w:cs="Arial"/>
          <w:color w:val="FF0000"/>
          <w:sz w:val="22"/>
          <w:szCs w:val="22"/>
          <w:highlight w:val="yellow"/>
        </w:rPr>
      </w:pPr>
      <w:r w:rsidRPr="009A4CBD">
        <w:rPr>
          <w:rFonts w:ascii="Arial" w:hAnsi="Arial" w:cs="Arial"/>
          <w:b/>
          <w:bCs/>
          <w:sz w:val="22"/>
          <w:szCs w:val="22"/>
        </w:rPr>
        <w:t>Datum cílové hodnoty:</w:t>
      </w:r>
      <w:r w:rsidRPr="009A4CBD">
        <w:rPr>
          <w:rFonts w:ascii="Arial" w:hAnsi="Arial" w:cs="Arial"/>
          <w:sz w:val="22"/>
          <w:szCs w:val="22"/>
        </w:rPr>
        <w:t xml:space="preserve"> Žadatel v žádosti o podporu stanovuje jako </w:t>
      </w:r>
      <w:r w:rsidRPr="00486775">
        <w:rPr>
          <w:rFonts w:ascii="Arial" w:hAnsi="Arial" w:cs="Arial"/>
          <w:sz w:val="22"/>
          <w:szCs w:val="22"/>
        </w:rPr>
        <w:t xml:space="preserve">datum ukončení realizace projektu. </w:t>
      </w:r>
      <w:r w:rsidRPr="008E4F0B">
        <w:rPr>
          <w:rFonts w:ascii="Arial" w:hAnsi="Arial" w:cs="Arial"/>
          <w:sz w:val="22"/>
          <w:szCs w:val="22"/>
        </w:rPr>
        <w:t xml:space="preserve">Datum se považuje za Rozhodné datum pro naplnění indikátoru a jsou k němu vztahovány další postupy v době udržitelnosti. </w:t>
      </w:r>
    </w:p>
    <w:p w14:paraId="6C05A16C" w14:textId="4DE76CEB" w:rsidR="00486775" w:rsidRDefault="00486775" w:rsidP="00486775">
      <w:pPr>
        <w:spacing w:after="20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sidR="003352F8">
        <w:rPr>
          <w:rFonts w:ascii="Arial" w:hAnsi="Arial" w:cs="Arial"/>
          <w:sz w:val="22"/>
          <w:szCs w:val="22"/>
        </w:rPr>
        <w:t> </w:t>
      </w:r>
      <w:r w:rsidRPr="008E4F0B">
        <w:rPr>
          <w:rFonts w:ascii="Arial" w:hAnsi="Arial" w:cs="Arial"/>
          <w:sz w:val="22"/>
          <w:szCs w:val="22"/>
        </w:rPr>
        <w:t>výše uvedeným. Po ukončení realizace projektu již příjemce orientační datum cílové hodnoty neupravuje.</w:t>
      </w:r>
    </w:p>
    <w:p w14:paraId="2F0E97E8" w14:textId="7F3B5D97" w:rsidR="00486775" w:rsidRDefault="00486775" w:rsidP="00486775">
      <w:pPr>
        <w:spacing w:after="200" w:line="276" w:lineRule="auto"/>
        <w:jc w:val="both"/>
        <w:rPr>
          <w:rFonts w:ascii="Arial" w:hAnsi="Arial" w:cs="Arial"/>
          <w:sz w:val="22"/>
          <w:szCs w:val="22"/>
        </w:rPr>
      </w:pPr>
      <w:r w:rsidRPr="009A4CBD">
        <w:rPr>
          <w:rFonts w:ascii="Arial" w:hAnsi="Arial" w:cs="Arial"/>
          <w:b/>
          <w:bCs/>
          <w:sz w:val="22"/>
          <w:szCs w:val="22"/>
        </w:rPr>
        <w:lastRenderedPageBreak/>
        <w:t xml:space="preserve">Dosažená </w:t>
      </w:r>
      <w:r w:rsidRPr="00486775">
        <w:rPr>
          <w:rFonts w:ascii="Arial" w:hAnsi="Arial" w:cs="Arial"/>
          <w:b/>
          <w:bCs/>
          <w:sz w:val="22"/>
          <w:szCs w:val="22"/>
        </w:rPr>
        <w:t>hodnota:</w:t>
      </w:r>
      <w:r w:rsidRPr="00486775">
        <w:rPr>
          <w:rFonts w:ascii="Arial" w:hAnsi="Arial" w:cs="Arial"/>
          <w:sz w:val="22"/>
          <w:szCs w:val="22"/>
        </w:rPr>
        <w:t xml:space="preserve"> Skutečně podpořená roční kapacita pobytových sociálních služeb. Hodnotu je nutné poprvé vykázat nejpozději k Rozhodnému datu, tedy v Závěrečné zprávě o realizaci projektu k datu ukončení realizace projektu.</w:t>
      </w:r>
    </w:p>
    <w:p w14:paraId="5DE679DE" w14:textId="77777777" w:rsidR="00486775" w:rsidRPr="009A4CBD" w:rsidRDefault="00486775" w:rsidP="00486775">
      <w:pPr>
        <w:spacing w:after="200" w:line="276" w:lineRule="auto"/>
        <w:jc w:val="both"/>
        <w:rPr>
          <w:rFonts w:ascii="Arial" w:hAnsi="Arial" w:cs="Arial"/>
          <w:sz w:val="22"/>
          <w:szCs w:val="22"/>
        </w:rPr>
      </w:pPr>
      <w:r w:rsidRPr="00486775">
        <w:rPr>
          <w:rFonts w:ascii="Arial" w:hAnsi="Arial" w:cs="Arial"/>
          <w:sz w:val="22"/>
          <w:szCs w:val="22"/>
        </w:rPr>
        <w:t>Dosažená hodnota vykazovaná po Rozhodném datu se již váže k prokázání udržování výstupu projektu a je vykazována ve Zprávách o udržitelnosti projektu</w:t>
      </w:r>
      <w:r>
        <w:rPr>
          <w:rFonts w:ascii="Arial" w:hAnsi="Arial" w:cs="Arial"/>
          <w:color w:val="FF0000"/>
          <w:sz w:val="22"/>
          <w:szCs w:val="22"/>
        </w:rPr>
        <w:t xml:space="preserve"> </w:t>
      </w:r>
      <w:r w:rsidRPr="00486775">
        <w:rPr>
          <w:rFonts w:ascii="Arial" w:hAnsi="Arial" w:cs="Arial"/>
          <w:sz w:val="22"/>
          <w:szCs w:val="22"/>
        </w:rPr>
        <w:t>pouze v případě změny výše dosažené hodnoty, a to včetně popisu, kdy a proč ke změně došlo.</w:t>
      </w:r>
    </w:p>
    <w:p w14:paraId="6DDE2AA3" w14:textId="77777777" w:rsidR="00486775" w:rsidRPr="000465C4" w:rsidRDefault="00486775" w:rsidP="00486775">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486775" w:rsidRPr="009A4CBD" w14:paraId="3C559153" w14:textId="77777777" w:rsidTr="003274A4">
        <w:trPr>
          <w:trHeight w:val="1793"/>
        </w:trPr>
        <w:tc>
          <w:tcPr>
            <w:tcW w:w="4575" w:type="dxa"/>
            <w:shd w:val="clear" w:color="auto" w:fill="auto"/>
          </w:tcPr>
          <w:p w14:paraId="7F16AC1E" w14:textId="77777777" w:rsidR="00486775" w:rsidRPr="003274A4" w:rsidRDefault="00486775" w:rsidP="003274A4">
            <w:pPr>
              <w:spacing w:before="120" w:after="120" w:line="271" w:lineRule="auto"/>
              <w:ind w:left="52"/>
              <w:jc w:val="both"/>
              <w:rPr>
                <w:rFonts w:ascii="Arial" w:hAnsi="Arial" w:cs="Arial"/>
                <w:b/>
                <w:bCs/>
                <w:sz w:val="22"/>
                <w:szCs w:val="22"/>
              </w:rPr>
            </w:pPr>
            <w:r w:rsidRPr="003274A4">
              <w:rPr>
                <w:rFonts w:ascii="Arial" w:hAnsi="Arial" w:cs="Arial"/>
                <w:b/>
                <w:bCs/>
                <w:sz w:val="22"/>
                <w:szCs w:val="22"/>
              </w:rPr>
              <w:t>V Závěrečné zprávě o realizaci projektu:</w:t>
            </w:r>
          </w:p>
          <w:p w14:paraId="23D5F34F" w14:textId="77777777" w:rsidR="00486775" w:rsidRPr="003274A4" w:rsidRDefault="00486775" w:rsidP="003274A4">
            <w:pPr>
              <w:pStyle w:val="Odstavecseseznamem"/>
              <w:numPr>
                <w:ilvl w:val="0"/>
                <w:numId w:val="36"/>
              </w:numPr>
              <w:spacing w:before="120" w:after="120" w:line="271" w:lineRule="auto"/>
              <w:ind w:left="694"/>
              <w:jc w:val="both"/>
              <w:rPr>
                <w:rFonts w:ascii="Arial" w:hAnsi="Arial" w:cs="Arial"/>
                <w:sz w:val="22"/>
                <w:szCs w:val="22"/>
              </w:rPr>
            </w:pPr>
            <w:r w:rsidRPr="003274A4">
              <w:rPr>
                <w:rFonts w:ascii="Arial" w:hAnsi="Arial" w:cs="Arial"/>
                <w:sz w:val="22"/>
                <w:szCs w:val="22"/>
              </w:rPr>
              <w:t xml:space="preserve">Fotodokumentace </w:t>
            </w:r>
          </w:p>
          <w:p w14:paraId="7B3B47E8" w14:textId="77777777" w:rsidR="00486775" w:rsidRPr="003274A4" w:rsidRDefault="00486775" w:rsidP="00171665">
            <w:pPr>
              <w:pStyle w:val="Odstavecseseznamem"/>
              <w:numPr>
                <w:ilvl w:val="0"/>
                <w:numId w:val="36"/>
              </w:numPr>
              <w:spacing w:before="120" w:after="120" w:line="271" w:lineRule="auto"/>
              <w:ind w:left="694"/>
              <w:jc w:val="both"/>
              <w:rPr>
                <w:rFonts w:ascii="Arial" w:hAnsi="Arial" w:cs="Arial"/>
                <w:sz w:val="22"/>
                <w:szCs w:val="22"/>
              </w:rPr>
            </w:pPr>
            <w:r w:rsidRPr="003274A4">
              <w:rPr>
                <w:rFonts w:ascii="Arial" w:hAnsi="Arial" w:cs="Arial"/>
                <w:sz w:val="22"/>
                <w:szCs w:val="22"/>
              </w:rPr>
              <w:t>Doklad o předání a převzetí díla</w:t>
            </w:r>
          </w:p>
          <w:p w14:paraId="2C4296C1" w14:textId="29E0A089" w:rsidR="00486775" w:rsidRPr="003274A4" w:rsidRDefault="00486775" w:rsidP="00171665">
            <w:pPr>
              <w:pStyle w:val="Odstavecseseznamem"/>
              <w:numPr>
                <w:ilvl w:val="0"/>
                <w:numId w:val="36"/>
              </w:numPr>
              <w:spacing w:before="120" w:after="120" w:line="271" w:lineRule="auto"/>
              <w:ind w:left="694"/>
              <w:jc w:val="both"/>
              <w:rPr>
                <w:rFonts w:ascii="Arial" w:hAnsi="Arial" w:cs="Arial"/>
                <w:sz w:val="22"/>
                <w:szCs w:val="22"/>
              </w:rPr>
            </w:pPr>
            <w:r w:rsidRPr="003274A4">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shd w:val="clear" w:color="auto" w:fill="auto"/>
          </w:tcPr>
          <w:p w14:paraId="119E38B7" w14:textId="77777777" w:rsidR="00486775" w:rsidRPr="003274A4" w:rsidRDefault="00486775" w:rsidP="003274A4">
            <w:pPr>
              <w:spacing w:before="120" w:after="120" w:line="271" w:lineRule="auto"/>
              <w:jc w:val="both"/>
              <w:rPr>
                <w:rFonts w:ascii="Arial" w:hAnsi="Arial" w:cs="Arial"/>
                <w:b/>
                <w:bCs/>
                <w:sz w:val="22"/>
                <w:szCs w:val="22"/>
              </w:rPr>
            </w:pPr>
            <w:r w:rsidRPr="003274A4">
              <w:rPr>
                <w:rFonts w:ascii="Arial" w:hAnsi="Arial" w:cs="Arial"/>
                <w:b/>
                <w:bCs/>
                <w:sz w:val="22"/>
                <w:szCs w:val="22"/>
              </w:rPr>
              <w:t>V 1. Zprávě o udržitelnosti projektu:</w:t>
            </w:r>
            <w:r w:rsidRPr="003274A4">
              <w:rPr>
                <w:rFonts w:ascii="Arial" w:hAnsi="Arial" w:cs="Arial"/>
                <w:b/>
                <w:bCs/>
                <w:sz w:val="28"/>
                <w:szCs w:val="28"/>
              </w:rPr>
              <w:t xml:space="preserve"> </w:t>
            </w:r>
          </w:p>
          <w:p w14:paraId="255472F0" w14:textId="26E0DC10" w:rsidR="00486775" w:rsidRPr="003274A4" w:rsidRDefault="00857DA5" w:rsidP="003274A4">
            <w:pPr>
              <w:pStyle w:val="Odstavecseseznamem"/>
              <w:numPr>
                <w:ilvl w:val="0"/>
                <w:numId w:val="36"/>
              </w:numPr>
              <w:spacing w:before="120" w:after="120" w:line="271" w:lineRule="auto"/>
              <w:jc w:val="both"/>
              <w:rPr>
                <w:rFonts w:ascii="Arial" w:hAnsi="Arial" w:cs="Arial"/>
                <w:b/>
                <w:bCs/>
                <w:sz w:val="22"/>
                <w:szCs w:val="22"/>
              </w:rPr>
            </w:pPr>
            <w:r w:rsidRPr="003274A4">
              <w:rPr>
                <w:rFonts w:ascii="Arial" w:hAnsi="Arial" w:cs="Arial"/>
                <w:sz w:val="22"/>
                <w:szCs w:val="22"/>
              </w:rPr>
              <w:t>Kolaudační souhlas nebo kolaudační rozhodnutí, v případě že nedošlo k doložení při Závěrečné zprávě o realizaci projektu</w:t>
            </w:r>
          </w:p>
          <w:p w14:paraId="33CA1C62" w14:textId="77777777" w:rsidR="00A57339" w:rsidRPr="003274A4" w:rsidRDefault="00A57339" w:rsidP="003274A4">
            <w:pPr>
              <w:spacing w:before="120" w:after="120" w:line="271" w:lineRule="auto"/>
              <w:contextualSpacing/>
              <w:jc w:val="both"/>
              <w:rPr>
                <w:rFonts w:ascii="Arial" w:hAnsi="Arial" w:cs="Arial"/>
                <w:b/>
                <w:bCs/>
                <w:sz w:val="22"/>
                <w:szCs w:val="22"/>
              </w:rPr>
            </w:pPr>
            <w:r w:rsidRPr="003274A4">
              <w:rPr>
                <w:rFonts w:ascii="Arial" w:hAnsi="Arial" w:cs="Arial"/>
                <w:b/>
                <w:bCs/>
                <w:sz w:val="22"/>
                <w:szCs w:val="22"/>
              </w:rPr>
              <w:t>Ve všech Zprávách o udržitelnosti projektu</w:t>
            </w:r>
          </w:p>
          <w:p w14:paraId="1E65A41C" w14:textId="67EF7AFB" w:rsidR="00A57339" w:rsidRPr="003274A4" w:rsidRDefault="00A57339" w:rsidP="003274A4">
            <w:pPr>
              <w:pStyle w:val="Odstavecseseznamem"/>
              <w:numPr>
                <w:ilvl w:val="0"/>
                <w:numId w:val="36"/>
              </w:numPr>
              <w:spacing w:before="120" w:after="120" w:line="271" w:lineRule="auto"/>
              <w:jc w:val="both"/>
              <w:rPr>
                <w:rFonts w:ascii="Arial" w:hAnsi="Arial" w:cs="Arial"/>
                <w:b/>
                <w:bCs/>
                <w:sz w:val="22"/>
                <w:szCs w:val="22"/>
              </w:rPr>
            </w:pPr>
            <w:r w:rsidRPr="003274A4">
              <w:rPr>
                <w:rFonts w:ascii="Arial" w:hAnsi="Arial" w:cs="Arial"/>
                <w:sz w:val="22"/>
                <w:szCs w:val="22"/>
              </w:rPr>
              <w:t>Dokumentace/interní evidence, ze které bude vyplývat skutečný</w:t>
            </w:r>
            <w:r w:rsidR="00232A06" w:rsidRPr="003274A4">
              <w:rPr>
                <w:rFonts w:ascii="Arial" w:hAnsi="Arial" w:cs="Arial"/>
                <w:sz w:val="22"/>
                <w:szCs w:val="22"/>
              </w:rPr>
              <w:t xml:space="preserve"> počet osob,</w:t>
            </w:r>
            <w:r w:rsidRPr="003274A4">
              <w:rPr>
                <w:rFonts w:ascii="Arial" w:hAnsi="Arial" w:cs="Arial"/>
                <w:sz w:val="22"/>
                <w:szCs w:val="22"/>
              </w:rPr>
              <w:t xml:space="preserve"> které je zařízení schopno lépe obsloužit nebo se o ně starat alespoň jednou po dobu jednoho roku.</w:t>
            </w:r>
          </w:p>
        </w:tc>
      </w:tr>
    </w:tbl>
    <w:p w14:paraId="39B4FE1C" w14:textId="2D2FF1E3" w:rsidR="00486775" w:rsidRPr="009A4CBD" w:rsidRDefault="00486775" w:rsidP="00486775">
      <w:pPr>
        <w:spacing w:before="120" w:after="200" w:line="276" w:lineRule="auto"/>
        <w:jc w:val="both"/>
        <w:rPr>
          <w:rFonts w:ascii="Arial" w:hAnsi="Arial" w:cs="Arial"/>
          <w:sz w:val="22"/>
          <w:szCs w:val="22"/>
        </w:rPr>
      </w:pPr>
      <w:r w:rsidRPr="009A4CBD">
        <w:rPr>
          <w:rFonts w:ascii="Arial" w:hAnsi="Arial" w:cs="Arial"/>
          <w:sz w:val="22"/>
          <w:szCs w:val="22"/>
        </w:rPr>
        <w:t xml:space="preserve">Je nutné doložit </w:t>
      </w:r>
      <w:r w:rsidRPr="009B15A5">
        <w:rPr>
          <w:rFonts w:ascii="Arial" w:hAnsi="Arial" w:cs="Arial"/>
          <w:sz w:val="22"/>
          <w:szCs w:val="22"/>
        </w:rPr>
        <w:t>relevantní</w:t>
      </w:r>
      <w:r>
        <w:rPr>
          <w:rFonts w:ascii="Arial" w:hAnsi="Arial" w:cs="Arial"/>
          <w:sz w:val="22"/>
          <w:szCs w:val="22"/>
        </w:rPr>
        <w:t xml:space="preserve"> </w:t>
      </w:r>
      <w:r w:rsidRPr="009A4CBD">
        <w:rPr>
          <w:rFonts w:ascii="Arial" w:hAnsi="Arial" w:cs="Arial"/>
          <w:sz w:val="22"/>
          <w:szCs w:val="22"/>
        </w:rPr>
        <w:t>uvedené dokumenty.</w:t>
      </w:r>
      <w:r>
        <w:rPr>
          <w:rFonts w:ascii="Arial" w:hAnsi="Arial" w:cs="Arial"/>
          <w:sz w:val="22"/>
          <w:szCs w:val="22"/>
        </w:rPr>
        <w:t xml:space="preserve"> </w:t>
      </w:r>
      <w:r w:rsidRPr="008E4F0B">
        <w:rPr>
          <w:rFonts w:ascii="Arial" w:hAnsi="Arial" w:cs="Arial"/>
          <w:sz w:val="22"/>
          <w:szCs w:val="22"/>
        </w:rPr>
        <w:t xml:space="preserve">Pokud v době udržitelnosti dojde ke změnám, bude v nejbližší následující Zprávě o udržitelnosti </w:t>
      </w:r>
      <w:r>
        <w:rPr>
          <w:rFonts w:ascii="Arial" w:hAnsi="Arial" w:cs="Arial"/>
          <w:sz w:val="22"/>
          <w:szCs w:val="22"/>
        </w:rPr>
        <w:t xml:space="preserve">projektu </w:t>
      </w:r>
      <w:r w:rsidRPr="008E4F0B">
        <w:rPr>
          <w:rFonts w:ascii="Arial" w:hAnsi="Arial" w:cs="Arial"/>
          <w:sz w:val="22"/>
          <w:szCs w:val="22"/>
        </w:rPr>
        <w:t>vykázána aktualizovaná hodnota, včetně data, od kterého platí. Zároveň budou opětovně dodány materiály pro její ověření.</w:t>
      </w:r>
    </w:p>
    <w:p w14:paraId="6F8553A8" w14:textId="77777777" w:rsidR="00486775" w:rsidRPr="000465C4" w:rsidRDefault="00486775" w:rsidP="00486775">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 xml:space="preserve">TOLERANCE DOSAŽENÍ a udržení indikátoru </w:t>
      </w:r>
    </w:p>
    <w:p w14:paraId="68E74BEA" w14:textId="07D56F77" w:rsidR="00486775" w:rsidRDefault="00486775" w:rsidP="00486775">
      <w:pPr>
        <w:spacing w:after="200" w:line="276" w:lineRule="auto"/>
        <w:jc w:val="both"/>
        <w:rPr>
          <w:rFonts w:ascii="Arial" w:hAnsi="Arial" w:cs="Arial"/>
          <w:sz w:val="22"/>
          <w:szCs w:val="22"/>
          <w:highlight w:val="yellow"/>
        </w:rPr>
      </w:pPr>
      <w:r w:rsidRPr="00486775">
        <w:rPr>
          <w:rFonts w:ascii="Arial" w:hAnsi="Arial" w:cs="Arial"/>
          <w:sz w:val="22"/>
          <w:szCs w:val="22"/>
        </w:rPr>
        <w:t>S ohledem na fluktuac</w:t>
      </w:r>
      <w:r w:rsidR="00B22E1C">
        <w:rPr>
          <w:rFonts w:ascii="Arial" w:hAnsi="Arial" w:cs="Arial"/>
          <w:sz w:val="22"/>
          <w:szCs w:val="22"/>
        </w:rPr>
        <w:t>i</w:t>
      </w:r>
      <w:r w:rsidRPr="00486775">
        <w:rPr>
          <w:rFonts w:ascii="Arial" w:hAnsi="Arial" w:cs="Arial"/>
          <w:sz w:val="22"/>
          <w:szCs w:val="22"/>
        </w:rPr>
        <w:t>, kter</w:t>
      </w:r>
      <w:r w:rsidR="00B22E1C">
        <w:rPr>
          <w:rFonts w:ascii="Arial" w:hAnsi="Arial" w:cs="Arial"/>
          <w:sz w:val="22"/>
          <w:szCs w:val="22"/>
        </w:rPr>
        <w:t>á</w:t>
      </w:r>
      <w:r w:rsidRPr="00486775">
        <w:rPr>
          <w:rFonts w:ascii="Arial" w:hAnsi="Arial" w:cs="Arial"/>
          <w:sz w:val="22"/>
          <w:szCs w:val="22"/>
        </w:rPr>
        <w:t xml:space="preserve"> může oblast poskytování sociálních služeb postihnout, činní </w:t>
      </w:r>
      <w:r w:rsidR="003274A4">
        <w:rPr>
          <w:rFonts w:ascii="Arial" w:hAnsi="Arial" w:cs="Arial"/>
          <w:sz w:val="22"/>
          <w:szCs w:val="22"/>
        </w:rPr>
        <w:t>t</w:t>
      </w:r>
      <w:r w:rsidRPr="00486775">
        <w:rPr>
          <w:rFonts w:ascii="Arial" w:hAnsi="Arial" w:cs="Arial"/>
          <w:sz w:val="22"/>
          <w:szCs w:val="22"/>
        </w:rPr>
        <w:t xml:space="preserve">oleranční pásmo minus </w:t>
      </w:r>
      <w:r w:rsidR="00857DA5">
        <w:rPr>
          <w:rFonts w:ascii="Arial" w:hAnsi="Arial" w:cs="Arial"/>
          <w:sz w:val="22"/>
          <w:szCs w:val="22"/>
        </w:rPr>
        <w:t>20</w:t>
      </w:r>
      <w:r w:rsidRPr="00486775">
        <w:rPr>
          <w:rFonts w:ascii="Arial" w:hAnsi="Arial" w:cs="Arial"/>
          <w:sz w:val="22"/>
          <w:szCs w:val="22"/>
        </w:rPr>
        <w:t xml:space="preserve"> % cílové hodnoty indikátoru. </w:t>
      </w:r>
      <w:r w:rsidRPr="00AF3D0A">
        <w:rPr>
          <w:rFonts w:ascii="Arial" w:hAnsi="Arial" w:cs="Arial"/>
          <w:sz w:val="22"/>
          <w:szCs w:val="22"/>
        </w:rPr>
        <w:t>Toto pásmo je pevně navázáno na cílovou hodnotu naplňovanou k Rozhodnému datu</w:t>
      </w:r>
      <w:r>
        <w:rPr>
          <w:rFonts w:ascii="Arial" w:hAnsi="Arial" w:cs="Arial"/>
          <w:sz w:val="22"/>
          <w:szCs w:val="22"/>
        </w:rPr>
        <w:t>, ale p</w:t>
      </w:r>
      <w:r w:rsidRPr="008E4F0B">
        <w:rPr>
          <w:rFonts w:ascii="Arial" w:hAnsi="Arial" w:cs="Arial"/>
          <w:sz w:val="22"/>
          <w:szCs w:val="22"/>
        </w:rPr>
        <w:t xml:space="preserve">latí i pro období </w:t>
      </w:r>
      <w:r>
        <w:rPr>
          <w:rFonts w:ascii="Arial" w:hAnsi="Arial" w:cs="Arial"/>
          <w:sz w:val="22"/>
          <w:szCs w:val="22"/>
        </w:rPr>
        <w:t xml:space="preserve">udržitelnosti </w:t>
      </w:r>
      <w:r w:rsidRPr="008E4F0B">
        <w:rPr>
          <w:rFonts w:ascii="Arial" w:hAnsi="Arial" w:cs="Arial"/>
          <w:sz w:val="22"/>
          <w:szCs w:val="22"/>
        </w:rPr>
        <w:t>po Rozhodném datu</w:t>
      </w:r>
      <w:r>
        <w:rPr>
          <w:rStyle w:val="Znakapoznpodarou"/>
          <w:rFonts w:ascii="Arial" w:hAnsi="Arial" w:cs="Arial"/>
          <w:sz w:val="22"/>
          <w:szCs w:val="22"/>
        </w:rPr>
        <w:footnoteReference w:id="5"/>
      </w:r>
      <w:r w:rsidRPr="00AF3D0A">
        <w:rPr>
          <w:rFonts w:ascii="Arial" w:hAnsi="Arial" w:cs="Arial"/>
          <w:sz w:val="22"/>
          <w:szCs w:val="22"/>
        </w:rPr>
        <w:t>. Překročení stanovené cílové hodnoty není sankcionováno.</w:t>
      </w:r>
    </w:p>
    <w:p w14:paraId="0C5841D4" w14:textId="77777777" w:rsidR="00486775" w:rsidRDefault="00486775" w:rsidP="00486775">
      <w:pPr>
        <w:spacing w:after="200" w:line="276" w:lineRule="auto"/>
        <w:jc w:val="both"/>
        <w:rPr>
          <w:rFonts w:ascii="Arial" w:hAnsi="Arial" w:cs="Arial"/>
          <w:sz w:val="22"/>
          <w:szCs w:val="22"/>
        </w:rPr>
      </w:pPr>
      <w:r w:rsidRPr="00AF3D0A">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w:t>
      </w:r>
      <w:r>
        <w:rPr>
          <w:rFonts w:ascii="Arial" w:hAnsi="Arial" w:cs="Arial"/>
          <w:sz w:val="22"/>
          <w:szCs w:val="22"/>
        </w:rPr>
        <w:t>s</w:t>
      </w:r>
      <w:r w:rsidRPr="00AF3D0A">
        <w:rPr>
          <w:rFonts w:ascii="Arial" w:hAnsi="Arial" w:cs="Arial"/>
          <w:sz w:val="22"/>
          <w:szCs w:val="22"/>
        </w:rPr>
        <w:t xml:space="preserve">nížením přímých výdajů projektu vážících se na daný výstup. V takovém případě bude možné tuto žádost </w:t>
      </w:r>
      <w:r>
        <w:rPr>
          <w:rFonts w:ascii="Arial" w:hAnsi="Arial" w:cs="Arial"/>
          <w:sz w:val="22"/>
          <w:szCs w:val="22"/>
        </w:rPr>
        <w:t>posoudit</w:t>
      </w:r>
      <w:r w:rsidRPr="00AF3D0A">
        <w:rPr>
          <w:rFonts w:ascii="Arial" w:hAnsi="Arial" w:cs="Arial"/>
          <w:sz w:val="22"/>
          <w:szCs w:val="22"/>
        </w:rPr>
        <w:t>, a rozhodnout, zda lze cílovou hodnotu snížit</w:t>
      </w:r>
      <w:r>
        <w:rPr>
          <w:rFonts w:ascii="Arial" w:hAnsi="Arial" w:cs="Arial"/>
          <w:sz w:val="22"/>
          <w:szCs w:val="22"/>
        </w:rPr>
        <w:t xml:space="preserve">. </w:t>
      </w:r>
    </w:p>
    <w:p w14:paraId="30E2121F" w14:textId="4D177EAC" w:rsidR="00486775" w:rsidRPr="00486775" w:rsidRDefault="00486775" w:rsidP="00486775">
      <w:pPr>
        <w:spacing w:after="200" w:line="276" w:lineRule="auto"/>
        <w:jc w:val="both"/>
        <w:rPr>
          <w:rFonts w:ascii="Arial" w:hAnsi="Arial" w:cs="Arial"/>
          <w:sz w:val="22"/>
          <w:szCs w:val="22"/>
        </w:rPr>
      </w:pPr>
      <w:r>
        <w:rPr>
          <w:rFonts w:ascii="Arial" w:hAnsi="Arial" w:cs="Arial"/>
          <w:sz w:val="22"/>
          <w:szCs w:val="22"/>
        </w:rPr>
        <w:t xml:space="preserve">Když tak příjemce neučiní, zůstává cílová hodnota platná v nezměněné výši, a pokud bude vykázaná dosažená hodnota k Rozhodnému datu pod stanovenou tolerancí, bude postupováno dle </w:t>
      </w:r>
      <w:r w:rsidRPr="00486775">
        <w:rPr>
          <w:rFonts w:ascii="Arial" w:hAnsi="Arial" w:cs="Arial"/>
          <w:sz w:val="22"/>
          <w:szCs w:val="22"/>
        </w:rPr>
        <w:t>Podmínek Právního aktu / Rozhodnutí, které stanoví konkrétní výši a typ sankce aplikované při nenaplnění cílové hodnoty indikátoru.</w:t>
      </w:r>
    </w:p>
    <w:p w14:paraId="2E7A8EAE" w14:textId="1B4EA76C" w:rsidR="0018597B" w:rsidRDefault="00486775" w:rsidP="003338E8">
      <w:pPr>
        <w:spacing w:after="200" w:line="276" w:lineRule="auto"/>
        <w:jc w:val="both"/>
        <w:rPr>
          <w:rFonts w:ascii="Arial" w:hAnsi="Arial" w:cs="Arial"/>
          <w:color w:val="FF0000"/>
          <w:sz w:val="22"/>
          <w:szCs w:val="22"/>
          <w:highlight w:val="yellow"/>
        </w:rPr>
      </w:pPr>
      <w:r w:rsidRPr="00486775">
        <w:rPr>
          <w:rFonts w:ascii="Arial" w:hAnsi="Arial" w:cs="Arial"/>
          <w:sz w:val="22"/>
          <w:szCs w:val="22"/>
        </w:rPr>
        <w:t xml:space="preserve">V době udržitelnosti již </w:t>
      </w:r>
      <w:r w:rsidRPr="00486775">
        <w:rPr>
          <w:rFonts w:ascii="Arial" w:hAnsi="Arial" w:cs="Arial"/>
          <w:b/>
          <w:bCs/>
          <w:sz w:val="22"/>
          <w:szCs w:val="22"/>
          <w:u w:val="single"/>
        </w:rPr>
        <w:t>nelze cílovou hodnotu upravit</w:t>
      </w:r>
      <w:r w:rsidRPr="00486775">
        <w:rPr>
          <w:rFonts w:ascii="Arial" w:hAnsi="Arial" w:cs="Arial"/>
          <w:sz w:val="22"/>
          <w:szCs w:val="22"/>
        </w:rPr>
        <w:t xml:space="preserve"> a zůstává zafixovaná ve výši platné k datu skutečného ukončení realizace projektu. Pokud bude (po Rozhodném datu) v období </w:t>
      </w:r>
      <w:r w:rsidRPr="00486775">
        <w:rPr>
          <w:rFonts w:ascii="Arial" w:hAnsi="Arial" w:cs="Arial"/>
          <w:sz w:val="22"/>
          <w:szCs w:val="22"/>
        </w:rPr>
        <w:lastRenderedPageBreak/>
        <w:t>udržitelnosti vykázaná dosažená hodnota pod stanovenou tolerancí, bude postupováno dle Podmínek Právního aktu / Rozhodnutí, které stanoví konk</w:t>
      </w:r>
      <w:r w:rsidRPr="00AF3D0A">
        <w:rPr>
          <w:rFonts w:ascii="Arial" w:hAnsi="Arial" w:cs="Arial"/>
          <w:sz w:val="22"/>
          <w:szCs w:val="22"/>
        </w:rPr>
        <w:t>rétní výš</w:t>
      </w:r>
      <w:r w:rsidR="005C71F1">
        <w:rPr>
          <w:rFonts w:ascii="Arial" w:hAnsi="Arial" w:cs="Arial"/>
          <w:sz w:val="22"/>
          <w:szCs w:val="22"/>
        </w:rPr>
        <w:t>i</w:t>
      </w:r>
      <w:r w:rsidRPr="00AF3D0A">
        <w:rPr>
          <w:rFonts w:ascii="Arial" w:hAnsi="Arial" w:cs="Arial"/>
          <w:sz w:val="22"/>
          <w:szCs w:val="22"/>
        </w:rPr>
        <w:t xml:space="preserve"> a typ sankce aplikované při ne</w:t>
      </w:r>
      <w:r>
        <w:rPr>
          <w:rFonts w:ascii="Arial" w:hAnsi="Arial" w:cs="Arial"/>
          <w:sz w:val="22"/>
          <w:szCs w:val="22"/>
        </w:rPr>
        <w:t>udržení</w:t>
      </w:r>
      <w:r w:rsidRPr="00AF3D0A">
        <w:rPr>
          <w:rFonts w:ascii="Arial" w:hAnsi="Arial" w:cs="Arial"/>
          <w:sz w:val="22"/>
          <w:szCs w:val="22"/>
        </w:rPr>
        <w:t xml:space="preserve"> cílové hodnoty indikátoru a to poměrově, vztaženo k délce období udržitelnosti, době neplnění a výši neplnění.</w:t>
      </w:r>
      <w:r w:rsidR="0018597B">
        <w:rPr>
          <w:rFonts w:ascii="Arial" w:hAnsi="Arial" w:cs="Arial"/>
          <w:color w:val="FF0000"/>
          <w:sz w:val="22"/>
          <w:szCs w:val="22"/>
          <w:highlight w:val="yellow"/>
        </w:rPr>
        <w:br w:type="page"/>
      </w:r>
    </w:p>
    <w:tbl>
      <w:tblPr>
        <w:tblpPr w:leftFromText="141" w:rightFromText="141" w:vertAnchor="text" w:horzAnchor="margin" w:tblpY="103"/>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18597B" w:rsidRPr="0018597B" w14:paraId="42BE67D3" w14:textId="77777777" w:rsidTr="0018597B">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25838CD4" w14:textId="77777777" w:rsidR="0018597B" w:rsidRPr="0018597B" w:rsidRDefault="0018597B" w:rsidP="0018597B">
            <w:pPr>
              <w:spacing w:line="276" w:lineRule="auto"/>
              <w:ind w:left="170" w:right="170"/>
              <w:jc w:val="center"/>
              <w:rPr>
                <w:rFonts w:ascii="Arial" w:eastAsiaTheme="minorHAnsi" w:hAnsi="Arial" w:cs="Arial"/>
                <w:b/>
                <w:bCs/>
                <w:color w:val="000000"/>
                <w:lang w:eastAsia="en-US"/>
              </w:rPr>
            </w:pPr>
            <w:r w:rsidRPr="0018597B">
              <w:rPr>
                <w:rFonts w:ascii="Arial" w:eastAsiaTheme="minorHAnsi" w:hAnsi="Arial" w:cs="Arial"/>
                <w:b/>
                <w:bCs/>
                <w:color w:val="000000"/>
                <w:lang w:eastAsia="en-US"/>
              </w:rPr>
              <w:lastRenderedPageBreak/>
              <w:t>METODICKÝ LIST INDIKÁTORU</w:t>
            </w:r>
          </w:p>
        </w:tc>
      </w:tr>
      <w:tr w:rsidR="0018597B" w:rsidRPr="0018597B" w14:paraId="34AA2660" w14:textId="77777777" w:rsidTr="0018597B">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1D615" w14:textId="77777777" w:rsidR="0018597B" w:rsidRPr="0018597B" w:rsidRDefault="0018597B" w:rsidP="0018597B">
            <w:pPr>
              <w:spacing w:before="80" w:after="80" w:line="276" w:lineRule="auto"/>
              <w:ind w:left="57" w:right="57"/>
              <w:jc w:val="center"/>
              <w:rPr>
                <w:rFonts w:ascii="Arial" w:eastAsiaTheme="minorHAnsi" w:hAnsi="Arial" w:cs="Arial"/>
                <w:b/>
                <w:bCs/>
                <w:color w:val="000000"/>
                <w:sz w:val="22"/>
                <w:szCs w:val="22"/>
                <w:lang w:eastAsia="en-US"/>
              </w:rPr>
            </w:pPr>
            <w:r w:rsidRPr="0018597B">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EA198" w14:textId="77777777" w:rsidR="0018597B" w:rsidRPr="0018597B" w:rsidRDefault="0018597B" w:rsidP="0018597B">
            <w:pPr>
              <w:spacing w:before="80" w:after="80" w:line="276" w:lineRule="auto"/>
              <w:ind w:right="170"/>
              <w:jc w:val="center"/>
              <w:rPr>
                <w:rFonts w:ascii="Arial" w:eastAsiaTheme="minorHAnsi" w:hAnsi="Arial" w:cs="Arial"/>
                <w:b/>
                <w:bCs/>
                <w:color w:val="000000"/>
                <w:lang w:eastAsia="en-US"/>
              </w:rPr>
            </w:pPr>
            <w:r w:rsidRPr="0018597B">
              <w:rPr>
                <w:rFonts w:ascii="Arial" w:eastAsiaTheme="minorHAnsi" w:hAnsi="Arial" w:cs="Arial"/>
                <w:b/>
                <w:bCs/>
                <w:color w:val="000000"/>
                <w:lang w:eastAsia="en-US"/>
              </w:rPr>
              <w:t>323 000 - Snížení konečné spotřeby energie u podpořených subjektů</w:t>
            </w:r>
          </w:p>
        </w:tc>
      </w:tr>
      <w:tr w:rsidR="0018597B" w:rsidRPr="0018597B" w14:paraId="226C43E8" w14:textId="77777777" w:rsidTr="0018597B">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7E8F08C3" w14:textId="77777777" w:rsidR="0018597B" w:rsidRPr="0018597B" w:rsidRDefault="0018597B" w:rsidP="0018597B">
            <w:pPr>
              <w:spacing w:line="276" w:lineRule="auto"/>
              <w:ind w:left="57" w:right="57"/>
              <w:jc w:val="center"/>
              <w:outlineLvl w:val="0"/>
              <w:rPr>
                <w:rFonts w:ascii="Arial" w:eastAsiaTheme="minorHAnsi" w:hAnsi="Arial" w:cs="Arial"/>
                <w:b/>
                <w:bCs/>
                <w:caps/>
                <w:color w:val="000000"/>
                <w:lang w:eastAsia="en-US"/>
              </w:rPr>
            </w:pPr>
            <w:r w:rsidRPr="0018597B">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50502384" w14:textId="77777777" w:rsidR="0018597B" w:rsidRPr="0018597B" w:rsidRDefault="0018597B" w:rsidP="0018597B">
            <w:pPr>
              <w:spacing w:line="276" w:lineRule="auto"/>
              <w:ind w:left="57" w:right="57"/>
              <w:jc w:val="center"/>
              <w:outlineLvl w:val="0"/>
              <w:rPr>
                <w:rFonts w:ascii="Arial" w:eastAsiaTheme="minorHAnsi" w:hAnsi="Arial" w:cs="Arial"/>
                <w:b/>
                <w:bCs/>
                <w:color w:val="000000"/>
                <w:sz w:val="22"/>
                <w:szCs w:val="22"/>
                <w:lang w:eastAsia="en-US"/>
              </w:rPr>
            </w:pPr>
            <w:r w:rsidRPr="0018597B">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D6F5067" w14:textId="77777777" w:rsidR="0018597B" w:rsidRPr="0018597B" w:rsidRDefault="0018597B" w:rsidP="0018597B">
            <w:pPr>
              <w:spacing w:line="276" w:lineRule="auto"/>
              <w:ind w:left="57" w:right="57"/>
              <w:jc w:val="center"/>
              <w:outlineLvl w:val="0"/>
              <w:rPr>
                <w:rFonts w:ascii="Arial" w:eastAsiaTheme="minorHAnsi" w:hAnsi="Arial" w:cs="Arial"/>
                <w:b/>
                <w:bCs/>
                <w:color w:val="000000"/>
                <w:sz w:val="22"/>
                <w:szCs w:val="22"/>
                <w:lang w:eastAsia="en-US"/>
              </w:rPr>
            </w:pPr>
            <w:r w:rsidRPr="0018597B">
              <w:rPr>
                <w:rFonts w:ascii="Arial" w:eastAsiaTheme="minorHAnsi" w:hAnsi="Arial" w:cs="Arial"/>
                <w:b/>
                <w:bCs/>
                <w:color w:val="000000"/>
                <w:sz w:val="22"/>
                <w:szCs w:val="22"/>
                <w:lang w:eastAsia="en-US"/>
              </w:rPr>
              <w:t>Typ indikátoru</w:t>
            </w:r>
          </w:p>
        </w:tc>
      </w:tr>
      <w:tr w:rsidR="0018597B" w:rsidRPr="0018597B" w14:paraId="6AE2F77D" w14:textId="77777777" w:rsidTr="0018597B">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2E75CF82" w14:textId="5A28CB75" w:rsidR="0018597B" w:rsidRPr="0018597B" w:rsidRDefault="0018597B" w:rsidP="0018597B">
            <w:pPr>
              <w:spacing w:line="276" w:lineRule="auto"/>
              <w:ind w:left="57" w:right="57"/>
              <w:jc w:val="center"/>
              <w:outlineLvl w:val="0"/>
              <w:rPr>
                <w:rFonts w:ascii="Arial" w:eastAsiaTheme="minorHAnsi" w:hAnsi="Arial" w:cs="Arial"/>
                <w:b/>
                <w:bCs/>
                <w:color w:val="000000"/>
                <w:sz w:val="22"/>
                <w:szCs w:val="22"/>
                <w:lang w:eastAsia="en-US"/>
              </w:rPr>
            </w:pPr>
            <w:r w:rsidRPr="0018597B">
              <w:rPr>
                <w:rFonts w:ascii="Arial" w:eastAsiaTheme="minorHAnsi" w:hAnsi="Arial" w:cs="Arial"/>
                <w:b/>
                <w:bCs/>
                <w:color w:val="000000"/>
                <w:sz w:val="22"/>
                <w:szCs w:val="22"/>
                <w:lang w:eastAsia="en-US"/>
              </w:rPr>
              <w:t xml:space="preserve">IROP </w:t>
            </w:r>
            <w:r w:rsidR="00D75F24">
              <w:rPr>
                <w:rFonts w:ascii="Arial" w:eastAsiaTheme="minorHAnsi" w:hAnsi="Arial" w:cs="Arial"/>
                <w:b/>
                <w:bCs/>
                <w:color w:val="000000"/>
                <w:sz w:val="22"/>
                <w:szCs w:val="22"/>
                <w:lang w:eastAsia="en-US"/>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8A678DA" w14:textId="77777777" w:rsidR="0018597B" w:rsidRPr="0018597B" w:rsidRDefault="0018597B" w:rsidP="0018597B">
            <w:pPr>
              <w:spacing w:line="276" w:lineRule="auto"/>
              <w:ind w:left="57" w:right="57"/>
              <w:jc w:val="center"/>
              <w:outlineLvl w:val="0"/>
              <w:rPr>
                <w:rFonts w:ascii="Arial" w:eastAsiaTheme="minorHAnsi" w:hAnsi="Arial" w:cs="Arial"/>
                <w:b/>
                <w:bCs/>
                <w:color w:val="000000"/>
                <w:sz w:val="22"/>
                <w:szCs w:val="22"/>
                <w:lang w:eastAsia="en-US"/>
              </w:rPr>
            </w:pPr>
            <w:r w:rsidRPr="0018597B">
              <w:rPr>
                <w:rFonts w:ascii="Arial" w:eastAsiaTheme="minorHAnsi" w:hAnsi="Arial" w:cs="Arial"/>
                <w:b/>
                <w:bCs/>
                <w:color w:val="000000"/>
                <w:lang w:eastAsia="en-US"/>
              </w:rPr>
              <w:t>GJ/rok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577401A" w14:textId="77777777" w:rsidR="0018597B" w:rsidRPr="0018597B" w:rsidRDefault="0018597B" w:rsidP="0018597B">
            <w:pPr>
              <w:spacing w:line="276" w:lineRule="auto"/>
              <w:ind w:left="57" w:right="57"/>
              <w:jc w:val="center"/>
              <w:outlineLvl w:val="0"/>
              <w:rPr>
                <w:rFonts w:ascii="Arial" w:eastAsiaTheme="minorHAnsi" w:hAnsi="Arial" w:cs="Arial"/>
                <w:b/>
                <w:bCs/>
                <w:color w:val="000000"/>
                <w:sz w:val="22"/>
                <w:szCs w:val="22"/>
                <w:lang w:eastAsia="en-US"/>
              </w:rPr>
            </w:pPr>
            <w:r w:rsidRPr="0018597B">
              <w:rPr>
                <w:rFonts w:ascii="Arial" w:eastAsiaTheme="minorHAnsi" w:hAnsi="Arial" w:cs="Arial"/>
                <w:b/>
                <w:bCs/>
                <w:color w:val="000000"/>
                <w:sz w:val="22"/>
                <w:szCs w:val="22"/>
                <w:lang w:eastAsia="en-US"/>
              </w:rPr>
              <w:t>výsledek</w:t>
            </w:r>
          </w:p>
        </w:tc>
      </w:tr>
    </w:tbl>
    <w:p w14:paraId="28165D14" w14:textId="77777777" w:rsidR="00151065" w:rsidRPr="00AA45C3" w:rsidRDefault="00151065" w:rsidP="00C44084">
      <w:pPr>
        <w:spacing w:before="240"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 xml:space="preserve">Definice indikátoru </w:t>
      </w:r>
    </w:p>
    <w:p w14:paraId="7CFD8AF3"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Úsporami na konečné spotřebě energie se rozumí množství ušetřené energie na konečné spotřebě energie, určené měřením nebo odhadem spotřeby před provedením jednoho či více opatření ke zvýšení energetické účinnosti a po něm, při zajištění normalizace vnějších podmínek, které spotřebu energie ovlivňují. Konečná spotřeba energie je spotřeba paliv a energie, zjištěná před vstupem do spotřebičů, ve kterých se využije pro finální užitný efekt, nikoliv pro výrobu jiné energie (s výjimkou druhotných energetických zdrojů).</w:t>
      </w:r>
    </w:p>
    <w:p w14:paraId="25C87F72" w14:textId="77777777" w:rsidR="00151065" w:rsidRPr="00AA45C3" w:rsidRDefault="00151065" w:rsidP="00C44084">
      <w:pPr>
        <w:spacing w:before="240"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Upřesňující informace</w:t>
      </w:r>
    </w:p>
    <w:p w14:paraId="2FE0E692" w14:textId="07416894" w:rsidR="00A27628" w:rsidRPr="00A27628" w:rsidRDefault="00A27628" w:rsidP="00A27628">
      <w:pPr>
        <w:spacing w:before="240" w:line="276" w:lineRule="auto"/>
        <w:jc w:val="both"/>
        <w:rPr>
          <w:rFonts w:ascii="Arial" w:hAnsi="Arial" w:cs="Arial"/>
          <w:sz w:val="22"/>
          <w:szCs w:val="22"/>
        </w:rPr>
      </w:pPr>
      <w:r w:rsidRPr="00A27628">
        <w:rPr>
          <w:rFonts w:ascii="Arial" w:hAnsi="Arial" w:cs="Arial"/>
          <w:sz w:val="22"/>
          <w:szCs w:val="22"/>
        </w:rPr>
        <w:t>Indikátor je povinný k výběru a naplnění pro projekty, které mají povinnost doložit Průkaz energetické náročnosti budov (dále jen „PENB“) ke stavebnímu řízení podle zákona č.</w:t>
      </w:r>
      <w:r w:rsidR="00B22E1C">
        <w:rPr>
          <w:rFonts w:ascii="Arial" w:hAnsi="Arial" w:cs="Arial"/>
          <w:sz w:val="22"/>
          <w:szCs w:val="22"/>
        </w:rPr>
        <w:t> </w:t>
      </w:r>
      <w:r w:rsidRPr="00A27628">
        <w:rPr>
          <w:rFonts w:ascii="Arial" w:hAnsi="Arial" w:cs="Arial"/>
          <w:sz w:val="22"/>
          <w:szCs w:val="22"/>
        </w:rPr>
        <w:t xml:space="preserve">406/2000 Sb., o hospodaření s energií, ve znění pozdějších předpisů, případně pro projekty, které si PENB nechaly zpracovat nad rámec zákona a zároveň jsou schopny úspory exaktně vykázat – tedy v případech, pokud projektem dojde ke snížení množství celkové dodané energie za rok. </w:t>
      </w:r>
    </w:p>
    <w:p w14:paraId="1EC50571" w14:textId="2DB5A866" w:rsidR="00A27628" w:rsidRPr="00AA45C3" w:rsidRDefault="00A27628" w:rsidP="00A27628">
      <w:pPr>
        <w:spacing w:after="240" w:line="276" w:lineRule="auto"/>
        <w:jc w:val="both"/>
        <w:rPr>
          <w:rFonts w:ascii="Arial" w:hAnsi="Arial" w:cs="Arial"/>
          <w:sz w:val="22"/>
          <w:szCs w:val="22"/>
        </w:rPr>
      </w:pPr>
      <w:r w:rsidRPr="00A27628">
        <w:rPr>
          <w:rFonts w:ascii="Arial" w:hAnsi="Arial" w:cs="Arial"/>
          <w:sz w:val="22"/>
          <w:szCs w:val="22"/>
        </w:rPr>
        <w:t>PENB musí být zpracován v souladu s vyhláškou č. 264/2020 Sb., o energetické náročnosti budov, na základě a v souladu s předloženou projektovou dokumentací, a doložen, jak pro stav po realizaci navržených opatření, tak pro stávající stav, a to v souladu s typickým profilem užívání. PENB musí obsahovat evidenční číslo, pod kterým je daný PENB začleněn v databázi ENEX, evidované Ministerstvem průmyslu a obchodu. Indikátor je nerelevantní pro projekty, jejichž předmětem je pouze nová výstavba, či projekty ve kterých nedochází k úspoře množství celkové dodané energie za rok.</w:t>
      </w:r>
    </w:p>
    <w:p w14:paraId="52ED8F58" w14:textId="77777777" w:rsidR="00151065" w:rsidRPr="00AA45C3" w:rsidRDefault="00151065" w:rsidP="00C44084">
      <w:pPr>
        <w:spacing w:before="240" w:after="240" w:line="276" w:lineRule="auto"/>
        <w:jc w:val="both"/>
        <w:rPr>
          <w:rFonts w:ascii="Arial" w:hAnsi="Arial" w:cs="Arial"/>
          <w:sz w:val="22"/>
          <w:szCs w:val="22"/>
        </w:rPr>
      </w:pPr>
      <w:r w:rsidRPr="00AA45C3">
        <w:rPr>
          <w:rFonts w:ascii="Arial" w:hAnsi="Arial" w:cs="Arial"/>
          <w:sz w:val="22"/>
          <w:szCs w:val="22"/>
        </w:rPr>
        <w:t>Žadatel vykazuje všechny hodnoty na základě výpočtů z dat uvedených v PENB. Hodnota zachycující požadavek na celkovou dodanou energii za kalendářní rok se nachází v PENB v</w:t>
      </w:r>
      <w:r>
        <w:rPr>
          <w:rFonts w:ascii="Arial" w:hAnsi="Arial" w:cs="Arial"/>
          <w:sz w:val="22"/>
          <w:szCs w:val="22"/>
        </w:rPr>
        <w:t> </w:t>
      </w:r>
      <w:r w:rsidRPr="00AA45C3">
        <w:rPr>
          <w:rFonts w:ascii="Arial" w:hAnsi="Arial" w:cs="Arial"/>
          <w:sz w:val="22"/>
          <w:szCs w:val="22"/>
        </w:rPr>
        <w:t xml:space="preserve">části B – Celková dodaná energie, v tabulce Celková dodaná energie, sloupec Celkem, kde je hodnota uvedena v </w:t>
      </w:r>
      <w:proofErr w:type="spellStart"/>
      <w:r w:rsidRPr="00AA45C3">
        <w:rPr>
          <w:rFonts w:ascii="Arial" w:hAnsi="Arial" w:cs="Arial"/>
          <w:sz w:val="22"/>
          <w:szCs w:val="22"/>
        </w:rPr>
        <w:t>MWh</w:t>
      </w:r>
      <w:proofErr w:type="spellEnd"/>
      <w:r w:rsidRPr="00AA45C3">
        <w:rPr>
          <w:rFonts w:ascii="Arial" w:hAnsi="Arial" w:cs="Arial"/>
          <w:sz w:val="22"/>
          <w:szCs w:val="22"/>
        </w:rPr>
        <w:t>/rok či kWh/rok, pro potřeby indikátoru je nutné ji převést podle vzorce níže na GJ (gigajoule)/rok.</w:t>
      </w:r>
    </w:p>
    <w:p w14:paraId="7EA0F89C" w14:textId="77777777" w:rsidR="00151065" w:rsidRPr="00AA45C3" w:rsidRDefault="00151065" w:rsidP="00C44084">
      <w:pPr>
        <w:spacing w:before="240" w:after="240" w:line="276" w:lineRule="auto"/>
        <w:jc w:val="both"/>
        <w:rPr>
          <w:rFonts w:ascii="Arial" w:hAnsi="Arial" w:cs="Arial"/>
          <w:sz w:val="22"/>
          <w:szCs w:val="22"/>
        </w:rPr>
      </w:pPr>
      <w:r w:rsidRPr="00AA45C3">
        <w:rPr>
          <w:rFonts w:ascii="Arial" w:hAnsi="Arial" w:cs="Arial"/>
          <w:sz w:val="22"/>
          <w:szCs w:val="22"/>
        </w:rPr>
        <w:t xml:space="preserve">V případě, že je vykazována souhrnná hodnota za více PENB, jde o prostý součet dle výše uvedených informací. Hodnoty indikátoru jsou vykazovány </w:t>
      </w:r>
      <w:r w:rsidRPr="00AA45C3">
        <w:rPr>
          <w:rFonts w:ascii="Arial" w:hAnsi="Arial" w:cs="Arial"/>
          <w:sz w:val="22"/>
          <w:szCs w:val="22"/>
          <w:u w:val="single"/>
        </w:rPr>
        <w:t>s přesností na 3 desetinná místa, zaokrouhleno matematicky.</w:t>
      </w:r>
    </w:p>
    <w:p w14:paraId="006E6A1E" w14:textId="77777777" w:rsidR="00151065" w:rsidRPr="00AA45C3" w:rsidRDefault="00151065" w:rsidP="00C44084">
      <w:pPr>
        <w:spacing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postup vykazování</w:t>
      </w:r>
    </w:p>
    <w:p w14:paraId="26E9B4AD" w14:textId="77777777" w:rsidR="00151065" w:rsidRPr="00AA45C3" w:rsidRDefault="00151065" w:rsidP="00C44084">
      <w:pPr>
        <w:spacing w:line="276" w:lineRule="auto"/>
        <w:jc w:val="both"/>
        <w:rPr>
          <w:rFonts w:ascii="Arial" w:hAnsi="Arial" w:cs="Arial"/>
          <w:b/>
          <w:bCs/>
          <w:sz w:val="22"/>
          <w:szCs w:val="22"/>
        </w:rPr>
      </w:pPr>
      <w:r w:rsidRPr="00AA45C3">
        <w:rPr>
          <w:rFonts w:ascii="Arial" w:hAnsi="Arial" w:cs="Arial"/>
          <w:b/>
          <w:bCs/>
          <w:sz w:val="22"/>
          <w:szCs w:val="22"/>
        </w:rPr>
        <w:t xml:space="preserve">Výchozí hodnota: </w:t>
      </w:r>
      <w:r w:rsidRPr="00AA45C3">
        <w:rPr>
          <w:rFonts w:ascii="Arial" w:hAnsi="Arial" w:cs="Arial"/>
          <w:sz w:val="22"/>
          <w:szCs w:val="22"/>
        </w:rPr>
        <w:t xml:space="preserve">Množství celkové dodané energie vyjádřené v GJ/rok za kalendářní rok, který předchází roku, ve kterém začala realizace projektu (tedy před provedením jednoho či více opatření ke zvýšení energetické účinnosti). Tato hodnota je přepočítána na základě údajů </w:t>
      </w:r>
      <w:r w:rsidRPr="00AA45C3">
        <w:rPr>
          <w:rFonts w:ascii="Arial" w:hAnsi="Arial" w:cs="Arial"/>
          <w:sz w:val="22"/>
          <w:szCs w:val="22"/>
        </w:rPr>
        <w:lastRenderedPageBreak/>
        <w:t>uvedených v PENB, který zachycuje stav před realizací opatření. Jako datum výchozí hodnoty příjemce uvede datum podání žádosti o podporu.</w:t>
      </w:r>
    </w:p>
    <w:p w14:paraId="6EC51807" w14:textId="77777777" w:rsidR="00151065" w:rsidRPr="00AA45C3" w:rsidRDefault="00151065" w:rsidP="00C44084">
      <w:pPr>
        <w:spacing w:line="276" w:lineRule="auto"/>
        <w:jc w:val="both"/>
        <w:rPr>
          <w:rFonts w:ascii="Arial" w:eastAsiaTheme="minorHAnsi" w:hAnsi="Arial" w:cs="Arial"/>
          <w:b/>
          <w:bCs/>
          <w:i/>
          <w:iCs/>
          <w:caps/>
          <w:color w:val="31849B" w:themeColor="accent5" w:themeShade="BF"/>
          <w:lang w:eastAsia="en-US"/>
        </w:rPr>
      </w:pPr>
    </w:p>
    <w:p w14:paraId="1A37BF51"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b/>
          <w:bCs/>
          <w:sz w:val="22"/>
          <w:szCs w:val="22"/>
        </w:rPr>
        <w:t>Cílová hodnota:</w:t>
      </w:r>
      <w:r w:rsidRPr="00AA45C3">
        <w:rPr>
          <w:rFonts w:ascii="Arial" w:hAnsi="Arial" w:cs="Arial"/>
          <w:sz w:val="22"/>
          <w:szCs w:val="22"/>
        </w:rPr>
        <w:t xml:space="preserve"> Celková dodaná energie po provedení jednoho či více opatření ke zvýšení energetické účinnosti v kalendářním roce, který následuje po roce, ve kterém byla ukončena realizace projektu. Tato hodnota je stanovena na základě údajů uvedených v PENB pro stav po realizaci opatření. </w:t>
      </w:r>
    </w:p>
    <w:p w14:paraId="67B33E8C"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 xml:space="preserve">Tuto hodnotu se příjemce zavazuje naplnit k datu </w:t>
      </w:r>
      <w:r w:rsidRPr="00AA45C3">
        <w:rPr>
          <w:rFonts w:ascii="Arial" w:hAnsi="Arial" w:cs="Arial"/>
          <w:color w:val="000000" w:themeColor="text1"/>
          <w:sz w:val="22"/>
          <w:szCs w:val="22"/>
        </w:rPr>
        <w:t xml:space="preserve">ukončení realizace projektu </w:t>
      </w:r>
      <w:r w:rsidRPr="00AA45C3">
        <w:rPr>
          <w:rFonts w:ascii="Arial" w:hAnsi="Arial" w:cs="Arial"/>
          <w:sz w:val="22"/>
          <w:szCs w:val="22"/>
        </w:rPr>
        <w:t xml:space="preserve">a od tohoto okamžiku ji udržet až do konce udržitelnosti projektu. </w:t>
      </w:r>
    </w:p>
    <w:p w14:paraId="62735C92" w14:textId="77777777" w:rsidR="00151065" w:rsidRPr="00AA45C3" w:rsidRDefault="00151065" w:rsidP="00C44084">
      <w:pPr>
        <w:spacing w:after="200" w:line="276" w:lineRule="auto"/>
        <w:jc w:val="both"/>
        <w:rPr>
          <w:rFonts w:ascii="Arial" w:hAnsi="Arial" w:cs="Arial"/>
          <w:color w:val="FF0000"/>
          <w:sz w:val="22"/>
          <w:szCs w:val="22"/>
        </w:rPr>
      </w:pPr>
      <w:r w:rsidRPr="00AA45C3">
        <w:rPr>
          <w:rFonts w:ascii="Arial" w:hAnsi="Arial" w:cs="Arial"/>
          <w:b/>
          <w:bCs/>
          <w:sz w:val="22"/>
          <w:szCs w:val="22"/>
        </w:rPr>
        <w:t>Datum cílové hodnoty:</w:t>
      </w:r>
      <w:r w:rsidRPr="00AA45C3">
        <w:rPr>
          <w:rFonts w:ascii="Arial" w:hAnsi="Arial" w:cs="Arial"/>
          <w:sz w:val="22"/>
          <w:szCs w:val="22"/>
        </w:rPr>
        <w:t xml:space="preserve"> Žadatel v žádosti o podporu stanovuje jako datum ukončení realizace projektu. Toto datum se považuje za Rozhodné datum pro naplnění indikátoru a jsou k němu vztahovány další postupy v době udržitelnosti.</w:t>
      </w:r>
    </w:p>
    <w:p w14:paraId="7EB33376"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Datum je nutné při případném prodloužení realizace projektu udržovat aktuální, tj. v souladu s výše uvedeným.</w:t>
      </w:r>
    </w:p>
    <w:p w14:paraId="3BCA41AF"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b/>
          <w:bCs/>
          <w:sz w:val="22"/>
          <w:szCs w:val="22"/>
        </w:rPr>
        <w:t>Dosažená hodnota:</w:t>
      </w:r>
      <w:r w:rsidRPr="00AA45C3">
        <w:rPr>
          <w:rFonts w:ascii="Arial" w:hAnsi="Arial" w:cs="Arial"/>
          <w:sz w:val="22"/>
          <w:szCs w:val="22"/>
        </w:rPr>
        <w:t xml:space="preserve"> Množství celkové dodané energie za kalendářní rok po provedení jednoho či více opatření ke zvýšení energetické účinnosti za kalendářní rok, který následuje po roce, ve kterém byla realizace projektu ukončena. Stejně jako cílová hodnota je dosažená hodnota stanovena na základě výpočtu z údajů uvedených buď v PENB pro stav po realizaci, nebo v PENB zpracovaném na základě skutečného provedení projektu. Hodnotu je nutné poprvé vykázat nejpozději k Rozhodnému datu, tedy k datu ukončení realizace projektu v</w:t>
      </w:r>
      <w:r>
        <w:rPr>
          <w:rFonts w:ascii="Arial" w:hAnsi="Arial" w:cs="Arial"/>
          <w:sz w:val="22"/>
          <w:szCs w:val="22"/>
        </w:rPr>
        <w:t> </w:t>
      </w:r>
      <w:r w:rsidRPr="00AA45C3">
        <w:rPr>
          <w:rFonts w:ascii="Arial" w:hAnsi="Arial" w:cs="Arial"/>
          <w:sz w:val="22"/>
          <w:szCs w:val="22"/>
        </w:rPr>
        <w:t>Závěrečné zprávě o realizaci</w:t>
      </w:r>
      <w:r>
        <w:rPr>
          <w:rFonts w:ascii="Arial" w:hAnsi="Arial" w:cs="Arial"/>
          <w:sz w:val="22"/>
          <w:szCs w:val="22"/>
        </w:rPr>
        <w:t xml:space="preserve"> projektu</w:t>
      </w:r>
      <w:r w:rsidRPr="00AA45C3">
        <w:rPr>
          <w:rFonts w:ascii="Arial" w:hAnsi="Arial" w:cs="Arial"/>
          <w:sz w:val="22"/>
          <w:szCs w:val="22"/>
        </w:rPr>
        <w:t>, čímž projekt dokazuje naplnění stanovené hodnoty svojí realizací.</w:t>
      </w:r>
    </w:p>
    <w:p w14:paraId="5946AE50"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Dosažená hodnota vykazovaná po Rozhodném datu se již váže k udržování výstupu projektu a je vykazována ve Zprávách o udržitelnosti projektu pouze v případě změny výše dosažené hodnoty, a to včetně popisu, kdy a proč ke změně došlo.</w:t>
      </w:r>
    </w:p>
    <w:p w14:paraId="079A27CE" w14:textId="77777777" w:rsidR="00151065" w:rsidRPr="00AA45C3" w:rsidRDefault="00151065" w:rsidP="00C44084">
      <w:pPr>
        <w:spacing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151065" w:rsidRPr="00AA45C3" w14:paraId="767C31FE" w14:textId="77777777" w:rsidTr="0053307F">
        <w:trPr>
          <w:trHeight w:val="1562"/>
        </w:trPr>
        <w:tc>
          <w:tcPr>
            <w:tcW w:w="4575" w:type="dxa"/>
          </w:tcPr>
          <w:p w14:paraId="3FF5BD2A" w14:textId="77777777" w:rsidR="00151065" w:rsidRPr="00AA45C3" w:rsidRDefault="00151065" w:rsidP="003274A4">
            <w:pPr>
              <w:spacing w:before="120" w:after="120" w:line="271" w:lineRule="auto"/>
              <w:ind w:left="52"/>
              <w:jc w:val="both"/>
              <w:rPr>
                <w:rFonts w:ascii="Arial" w:hAnsi="Arial" w:cs="Arial"/>
                <w:b/>
                <w:bCs/>
                <w:sz w:val="22"/>
                <w:szCs w:val="22"/>
              </w:rPr>
            </w:pPr>
            <w:r w:rsidRPr="00AA45C3">
              <w:rPr>
                <w:rFonts w:ascii="Arial" w:hAnsi="Arial" w:cs="Arial"/>
                <w:b/>
                <w:bCs/>
                <w:sz w:val="22"/>
                <w:szCs w:val="22"/>
              </w:rPr>
              <w:t>V Závěrečné zprávě o realizaci projektu:</w:t>
            </w:r>
          </w:p>
          <w:p w14:paraId="5166B7FE" w14:textId="73559FDF" w:rsidR="00151065" w:rsidRPr="00AA45C3" w:rsidRDefault="00151065" w:rsidP="003274A4">
            <w:pPr>
              <w:numPr>
                <w:ilvl w:val="0"/>
                <w:numId w:val="36"/>
              </w:numPr>
              <w:spacing w:before="120" w:after="120" w:line="271" w:lineRule="auto"/>
              <w:contextualSpacing/>
              <w:jc w:val="both"/>
              <w:rPr>
                <w:rFonts w:asciiTheme="minorHAnsi" w:eastAsiaTheme="minorEastAsia" w:hAnsiTheme="minorHAnsi" w:cstheme="minorBidi"/>
                <w:sz w:val="22"/>
                <w:szCs w:val="22"/>
              </w:rPr>
            </w:pPr>
            <w:r w:rsidRPr="00AA45C3">
              <w:rPr>
                <w:rFonts w:ascii="Arial" w:eastAsia="Arial" w:hAnsi="Arial" w:cs="Arial"/>
                <w:sz w:val="22"/>
                <w:szCs w:val="22"/>
              </w:rPr>
              <w:t>Závěrečná zpráva technického dozoru investora</w:t>
            </w:r>
          </w:p>
          <w:p w14:paraId="6CAD6CE7" w14:textId="77777777" w:rsidR="00151065" w:rsidRPr="00AA45C3" w:rsidRDefault="00151065" w:rsidP="003274A4">
            <w:pPr>
              <w:numPr>
                <w:ilvl w:val="0"/>
                <w:numId w:val="36"/>
              </w:numPr>
              <w:spacing w:before="120" w:after="120" w:line="271" w:lineRule="auto"/>
              <w:contextualSpacing/>
              <w:jc w:val="both"/>
              <w:rPr>
                <w:rFonts w:ascii="Arial" w:hAnsi="Arial" w:cs="Arial"/>
                <w:sz w:val="22"/>
                <w:szCs w:val="22"/>
              </w:rPr>
            </w:pPr>
            <w:r w:rsidRPr="00AA45C3">
              <w:rPr>
                <w:rFonts w:ascii="Arial" w:eastAsia="Arial" w:hAnsi="Arial" w:cs="Arial"/>
                <w:sz w:val="22"/>
                <w:szCs w:val="22"/>
              </w:rPr>
              <w:t>PENB v případě změny s vlivem na indikátor 323 000</w:t>
            </w:r>
          </w:p>
        </w:tc>
        <w:tc>
          <w:tcPr>
            <w:tcW w:w="4691" w:type="dxa"/>
          </w:tcPr>
          <w:p w14:paraId="5437CDC2" w14:textId="77777777" w:rsidR="00151065" w:rsidRPr="00AA45C3" w:rsidRDefault="00151065" w:rsidP="003274A4">
            <w:pPr>
              <w:spacing w:before="120" w:after="120" w:line="271" w:lineRule="auto"/>
              <w:jc w:val="both"/>
              <w:rPr>
                <w:rFonts w:ascii="Arial" w:hAnsi="Arial" w:cs="Arial"/>
                <w:b/>
                <w:bCs/>
                <w:sz w:val="22"/>
                <w:szCs w:val="22"/>
              </w:rPr>
            </w:pPr>
            <w:r w:rsidRPr="00AA45C3">
              <w:rPr>
                <w:rFonts w:ascii="Arial" w:hAnsi="Arial" w:cs="Arial"/>
                <w:b/>
                <w:bCs/>
                <w:sz w:val="22"/>
                <w:szCs w:val="22"/>
              </w:rPr>
              <w:t>V 1. Zprávě o udržitelnosti projektu:</w:t>
            </w:r>
            <w:r w:rsidRPr="00AA45C3">
              <w:rPr>
                <w:rFonts w:ascii="Arial" w:hAnsi="Arial" w:cs="Arial"/>
                <w:b/>
                <w:bCs/>
                <w:sz w:val="28"/>
                <w:szCs w:val="28"/>
              </w:rPr>
              <w:t xml:space="preserve"> </w:t>
            </w:r>
          </w:p>
          <w:p w14:paraId="7BDD5E6B" w14:textId="77777777" w:rsidR="00151065" w:rsidRPr="00AA45C3" w:rsidRDefault="00151065" w:rsidP="003274A4">
            <w:pPr>
              <w:numPr>
                <w:ilvl w:val="0"/>
                <w:numId w:val="36"/>
              </w:numPr>
              <w:spacing w:before="120" w:after="120" w:line="271" w:lineRule="auto"/>
              <w:contextualSpacing/>
              <w:rPr>
                <w:b/>
                <w:bCs/>
              </w:rPr>
            </w:pPr>
            <w:r w:rsidRPr="00AA45C3">
              <w:rPr>
                <w:rFonts w:ascii="Arial" w:hAnsi="Arial" w:cs="Arial"/>
                <w:sz w:val="22"/>
                <w:szCs w:val="22"/>
              </w:rPr>
              <w:t>Indikátor je dokládán vždy v Závěrečné zprávě o realizaci</w:t>
            </w:r>
            <w:r>
              <w:rPr>
                <w:rFonts w:ascii="Arial" w:hAnsi="Arial" w:cs="Arial"/>
                <w:sz w:val="22"/>
                <w:szCs w:val="22"/>
              </w:rPr>
              <w:t xml:space="preserve"> projektu</w:t>
            </w:r>
            <w:r w:rsidRPr="00AA45C3">
              <w:rPr>
                <w:rFonts w:ascii="Arial" w:hAnsi="Arial" w:cs="Arial"/>
                <w:sz w:val="22"/>
                <w:szCs w:val="22"/>
              </w:rPr>
              <w:t>, 1. ZoU nemá žádné pevně stanovené materiály</w:t>
            </w:r>
          </w:p>
        </w:tc>
      </w:tr>
    </w:tbl>
    <w:p w14:paraId="1596D8AF" w14:textId="77777777" w:rsidR="00151065" w:rsidRPr="00AA45C3" w:rsidRDefault="00151065" w:rsidP="00C44084">
      <w:pPr>
        <w:spacing w:before="120" w:after="200" w:line="276" w:lineRule="auto"/>
        <w:jc w:val="both"/>
        <w:rPr>
          <w:rFonts w:ascii="Arial" w:hAnsi="Arial" w:cs="Arial"/>
          <w:sz w:val="22"/>
          <w:szCs w:val="22"/>
        </w:rPr>
      </w:pPr>
      <w:r w:rsidRPr="00AA45C3">
        <w:rPr>
          <w:rFonts w:ascii="Arial" w:hAnsi="Arial" w:cs="Arial"/>
          <w:sz w:val="22"/>
          <w:szCs w:val="22"/>
        </w:rPr>
        <w:t>Je nutné doložit všechny uvedené dokumenty. Pokud v době udržitelnosti dojde ke změnám, bude v nejbližší následující Zprávě o udržitelnosti vykázána aktualizovaná hodnota, včetně data, od kterého platí. Zároveň budou opětovně dodány materiály pro její ověření.</w:t>
      </w:r>
    </w:p>
    <w:p w14:paraId="57036B58" w14:textId="77777777" w:rsidR="00151065" w:rsidRPr="00AA45C3" w:rsidRDefault="00151065" w:rsidP="00C44084">
      <w:pPr>
        <w:spacing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 xml:space="preserve">TOLERANCE DOSAŽENÍ a udržení indikátoru </w:t>
      </w:r>
    </w:p>
    <w:p w14:paraId="3939EA88"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Toleranční pásmo činí</w:t>
      </w:r>
      <w:r>
        <w:rPr>
          <w:rFonts w:ascii="Arial" w:hAnsi="Arial" w:cs="Arial"/>
          <w:sz w:val="22"/>
          <w:szCs w:val="22"/>
        </w:rPr>
        <w:t xml:space="preserve"> minus </w:t>
      </w:r>
      <w:r w:rsidRPr="00AA45C3">
        <w:rPr>
          <w:rFonts w:ascii="Arial" w:hAnsi="Arial" w:cs="Arial"/>
          <w:b/>
          <w:bCs/>
          <w:sz w:val="22"/>
          <w:szCs w:val="22"/>
        </w:rPr>
        <w:t>5 %</w:t>
      </w:r>
      <w:r w:rsidRPr="00AA45C3">
        <w:rPr>
          <w:rFonts w:ascii="Arial" w:hAnsi="Arial" w:cs="Arial"/>
          <w:sz w:val="22"/>
          <w:szCs w:val="22"/>
        </w:rPr>
        <w:t xml:space="preserve"> z rozdílu mezi </w:t>
      </w:r>
      <w:r>
        <w:rPr>
          <w:rFonts w:ascii="Arial" w:hAnsi="Arial" w:cs="Arial"/>
          <w:sz w:val="22"/>
          <w:szCs w:val="22"/>
        </w:rPr>
        <w:t>výchozí</w:t>
      </w:r>
      <w:r w:rsidRPr="00AA45C3">
        <w:rPr>
          <w:rFonts w:ascii="Arial" w:hAnsi="Arial" w:cs="Arial"/>
          <w:sz w:val="22"/>
          <w:szCs w:val="22"/>
        </w:rPr>
        <w:t xml:space="preserve"> hodnotou a </w:t>
      </w:r>
      <w:r>
        <w:rPr>
          <w:rFonts w:ascii="Arial" w:hAnsi="Arial" w:cs="Arial"/>
          <w:sz w:val="22"/>
          <w:szCs w:val="22"/>
        </w:rPr>
        <w:t xml:space="preserve">cílovou </w:t>
      </w:r>
      <w:r w:rsidRPr="00AA45C3">
        <w:rPr>
          <w:rFonts w:ascii="Arial" w:hAnsi="Arial" w:cs="Arial"/>
          <w:sz w:val="22"/>
          <w:szCs w:val="22"/>
        </w:rPr>
        <w:t>hodnotou indikátoru (</w:t>
      </w:r>
      <w:r>
        <w:rPr>
          <w:rFonts w:ascii="Arial" w:hAnsi="Arial" w:cs="Arial"/>
          <w:sz w:val="22"/>
          <w:szCs w:val="22"/>
        </w:rPr>
        <w:t>ve smyslu</w:t>
      </w:r>
      <w:r w:rsidRPr="00AA45C3">
        <w:rPr>
          <w:rFonts w:ascii="Arial" w:hAnsi="Arial" w:cs="Arial"/>
          <w:sz w:val="22"/>
          <w:szCs w:val="22"/>
        </w:rPr>
        <w:t xml:space="preserve"> </w:t>
      </w:r>
      <w:r>
        <w:rPr>
          <w:rFonts w:ascii="Arial" w:hAnsi="Arial" w:cs="Arial"/>
          <w:sz w:val="22"/>
          <w:szCs w:val="22"/>
        </w:rPr>
        <w:t>dosažení nižší úspory, než bylo plánováno).</w:t>
      </w:r>
      <w:r w:rsidRPr="00AA45C3">
        <w:rPr>
          <w:rFonts w:ascii="Arial" w:hAnsi="Arial" w:cs="Arial"/>
          <w:sz w:val="22"/>
          <w:szCs w:val="22"/>
        </w:rPr>
        <w:t xml:space="preserve"> Toto pásmo je pevně </w:t>
      </w:r>
      <w:r w:rsidRPr="00AA45C3">
        <w:rPr>
          <w:rFonts w:ascii="Arial" w:hAnsi="Arial" w:cs="Arial"/>
          <w:sz w:val="22"/>
          <w:szCs w:val="22"/>
        </w:rPr>
        <w:lastRenderedPageBreak/>
        <w:t>navázáno na cílovou hodnotu naplňovanou k Rozhodnému datu</w:t>
      </w:r>
      <w:r>
        <w:rPr>
          <w:rFonts w:ascii="Arial" w:hAnsi="Arial" w:cs="Arial"/>
          <w:sz w:val="22"/>
          <w:szCs w:val="22"/>
        </w:rPr>
        <w:t>, ale</w:t>
      </w:r>
      <w:r w:rsidRPr="00AA45C3">
        <w:rPr>
          <w:rFonts w:ascii="Arial" w:hAnsi="Arial" w:cs="Arial"/>
          <w:sz w:val="22"/>
          <w:szCs w:val="22"/>
        </w:rPr>
        <w:t xml:space="preserve"> </w:t>
      </w:r>
      <w:r>
        <w:rPr>
          <w:rFonts w:ascii="Arial" w:hAnsi="Arial" w:cs="Arial"/>
          <w:sz w:val="22"/>
          <w:szCs w:val="22"/>
        </w:rPr>
        <w:t>p</w:t>
      </w:r>
      <w:r w:rsidRPr="00AA45C3">
        <w:rPr>
          <w:rFonts w:ascii="Arial" w:hAnsi="Arial" w:cs="Arial"/>
          <w:sz w:val="22"/>
          <w:szCs w:val="22"/>
        </w:rPr>
        <w:t xml:space="preserve">latí </w:t>
      </w:r>
      <w:r>
        <w:rPr>
          <w:rFonts w:ascii="Arial" w:hAnsi="Arial" w:cs="Arial"/>
          <w:sz w:val="22"/>
          <w:szCs w:val="22"/>
        </w:rPr>
        <w:t xml:space="preserve">i pro </w:t>
      </w:r>
      <w:r w:rsidRPr="00AA45C3">
        <w:rPr>
          <w:rFonts w:ascii="Arial" w:hAnsi="Arial" w:cs="Arial"/>
          <w:sz w:val="22"/>
          <w:szCs w:val="22"/>
        </w:rPr>
        <w:t>období udržitelnosti</w:t>
      </w:r>
      <w:r w:rsidRPr="00AA45C3">
        <w:rPr>
          <w:rFonts w:ascii="Arial" w:hAnsi="Arial" w:cs="Arial"/>
          <w:sz w:val="22"/>
          <w:szCs w:val="22"/>
          <w:vertAlign w:val="superscript"/>
        </w:rPr>
        <w:footnoteReference w:id="6"/>
      </w:r>
      <w:r w:rsidRPr="00AA45C3">
        <w:rPr>
          <w:rFonts w:ascii="Arial" w:hAnsi="Arial" w:cs="Arial"/>
          <w:sz w:val="22"/>
          <w:szCs w:val="22"/>
        </w:rPr>
        <w:t>. Překročení stanovené cílové hodnoty není sankcionováno.</w:t>
      </w:r>
    </w:p>
    <w:p w14:paraId="7DE73BE5"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prozkoumat a rozhodnout, zda lze cílovou hodnotu snížit. </w:t>
      </w:r>
    </w:p>
    <w:p w14:paraId="2AF1ADE3" w14:textId="08FDDD90"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 xml:space="preserve">Když tak příjemce neučiní, zůstává cílová hodnota platná v nezměněné výši, pokud vykázaná dosažená hodnota bude pod stanovenou tolerancí, bude postupováno dle Podmínek Právního aktu / Rozhodnutí, které </w:t>
      </w:r>
      <w:r w:rsidRPr="00E6695C">
        <w:rPr>
          <w:rFonts w:ascii="Arial" w:hAnsi="Arial" w:cs="Arial"/>
          <w:sz w:val="22"/>
          <w:szCs w:val="22"/>
        </w:rPr>
        <w:t xml:space="preserve">stanoví </w:t>
      </w:r>
      <w:r w:rsidRPr="00AA45C3">
        <w:rPr>
          <w:rFonts w:ascii="Arial" w:hAnsi="Arial" w:cs="Arial"/>
          <w:sz w:val="22"/>
          <w:szCs w:val="22"/>
        </w:rPr>
        <w:t>konkrétní výš</w:t>
      </w:r>
      <w:r>
        <w:rPr>
          <w:rFonts w:ascii="Arial" w:hAnsi="Arial" w:cs="Arial"/>
          <w:sz w:val="22"/>
          <w:szCs w:val="22"/>
        </w:rPr>
        <w:t>i</w:t>
      </w:r>
      <w:r w:rsidRPr="00AA45C3">
        <w:rPr>
          <w:rFonts w:ascii="Arial" w:hAnsi="Arial" w:cs="Arial"/>
          <w:sz w:val="22"/>
          <w:szCs w:val="22"/>
        </w:rPr>
        <w:t xml:space="preserve"> a typ sankce aplikované při nenaplnění cílové hodnoty indikátoru.</w:t>
      </w:r>
    </w:p>
    <w:p w14:paraId="14A8B44F"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 xml:space="preserve">V době udržitelnosti již </w:t>
      </w:r>
      <w:r w:rsidRPr="00AA45C3">
        <w:rPr>
          <w:rFonts w:ascii="Arial" w:hAnsi="Arial" w:cs="Arial"/>
          <w:b/>
          <w:bCs/>
          <w:sz w:val="22"/>
          <w:szCs w:val="22"/>
        </w:rPr>
        <w:t>nelze cílovou hodnotu upravit</w:t>
      </w:r>
      <w:r w:rsidRPr="00AA45C3">
        <w:rPr>
          <w:rFonts w:ascii="Arial" w:hAnsi="Arial" w:cs="Arial"/>
          <w:sz w:val="22"/>
          <w:szCs w:val="22"/>
        </w:rPr>
        <w:t xml:space="preserve"> a zůstává zafixovaná ve výši platné k datu skutečného ukončení realizace projektu. Pokud bude v období udržitelnosti vykázaná dosažená hodnota pod stanovenou tolerancí, bude postupováno dle Podmínek Právního aktu / Rozhodnutí, které stanoví konkrétní výš</w:t>
      </w:r>
      <w:r>
        <w:rPr>
          <w:rFonts w:ascii="Arial" w:hAnsi="Arial" w:cs="Arial"/>
          <w:sz w:val="22"/>
          <w:szCs w:val="22"/>
        </w:rPr>
        <w:t>i</w:t>
      </w:r>
      <w:r w:rsidRPr="00AA45C3">
        <w:rPr>
          <w:rFonts w:ascii="Arial" w:hAnsi="Arial" w:cs="Arial"/>
          <w:sz w:val="22"/>
          <w:szCs w:val="22"/>
        </w:rPr>
        <w:t xml:space="preserve"> a typ sankce aplikované při nenaplnění cílové hodnoty indikátoru</w:t>
      </w:r>
      <w:r>
        <w:rPr>
          <w:rFonts w:ascii="Arial" w:hAnsi="Arial" w:cs="Arial"/>
          <w:sz w:val="22"/>
          <w:szCs w:val="22"/>
        </w:rPr>
        <w:t>,</w:t>
      </w:r>
      <w:r w:rsidRPr="00AA45C3">
        <w:rPr>
          <w:rFonts w:ascii="Arial" w:hAnsi="Arial" w:cs="Arial"/>
          <w:sz w:val="22"/>
          <w:szCs w:val="22"/>
        </w:rPr>
        <w:t xml:space="preserve"> a to poměrově, vztaženo k délce období udržitelnosti, době neplnění a výši neplnění.</w:t>
      </w:r>
    </w:p>
    <w:p w14:paraId="271A022F" w14:textId="77777777" w:rsidR="00151065" w:rsidRPr="00AA45C3" w:rsidRDefault="00151065" w:rsidP="00C44084">
      <w:pPr>
        <w:spacing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Návod na Výpočet</w:t>
      </w:r>
    </w:p>
    <w:p w14:paraId="2BD2837E"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Hodnota zachycující požadavek na celkovou dodanou energii za kalendářní rok se nachází v</w:t>
      </w:r>
      <w:r>
        <w:rPr>
          <w:rFonts w:ascii="Arial" w:hAnsi="Arial" w:cs="Arial"/>
          <w:sz w:val="22"/>
          <w:szCs w:val="22"/>
        </w:rPr>
        <w:t> </w:t>
      </w:r>
      <w:r w:rsidRPr="00AA45C3">
        <w:rPr>
          <w:rFonts w:ascii="Arial" w:hAnsi="Arial" w:cs="Arial"/>
          <w:sz w:val="22"/>
          <w:szCs w:val="22"/>
        </w:rPr>
        <w:t xml:space="preserve">PENB v části B – Celková dodaná energie, v tabulce Celková dodaná energie, sloupec Celkem, kde je hodnota uvedena v </w:t>
      </w:r>
      <w:proofErr w:type="spellStart"/>
      <w:r w:rsidRPr="00AA45C3">
        <w:rPr>
          <w:rFonts w:ascii="Arial" w:hAnsi="Arial" w:cs="Arial"/>
          <w:sz w:val="22"/>
          <w:szCs w:val="22"/>
        </w:rPr>
        <w:t>MWh</w:t>
      </w:r>
      <w:proofErr w:type="spellEnd"/>
      <w:r w:rsidRPr="00AA45C3">
        <w:rPr>
          <w:rFonts w:ascii="Arial" w:hAnsi="Arial" w:cs="Arial"/>
          <w:sz w:val="22"/>
          <w:szCs w:val="22"/>
        </w:rPr>
        <w:t>/rok či kWh/rok, pro potřeby indikátoru je nutné ji převést podle vzorce níže na GJ (gigajoule)/rok.</w:t>
      </w:r>
    </w:p>
    <w:p w14:paraId="460B3803" w14:textId="77777777" w:rsidR="00151065" w:rsidRPr="00AA45C3" w:rsidRDefault="00151065" w:rsidP="00C44084">
      <w:pPr>
        <w:spacing w:after="200" w:line="276" w:lineRule="auto"/>
        <w:rPr>
          <w:rFonts w:ascii="Arial" w:hAnsi="Arial" w:cs="Arial"/>
          <w:b/>
          <w:bCs/>
          <w:sz w:val="22"/>
          <w:szCs w:val="22"/>
        </w:rPr>
      </w:pPr>
      <w:r w:rsidRPr="00AA45C3">
        <w:rPr>
          <w:rFonts w:ascii="Arial" w:hAnsi="Arial" w:cs="Arial"/>
          <w:b/>
          <w:bCs/>
          <w:sz w:val="22"/>
          <w:szCs w:val="22"/>
        </w:rPr>
        <w:t xml:space="preserve">Převodní vztahy mezi kWh a GJ: </w:t>
      </w:r>
    </w:p>
    <w:p w14:paraId="3770B09E" w14:textId="77777777" w:rsidR="00151065" w:rsidRPr="00AA45C3" w:rsidRDefault="00151065" w:rsidP="00C44084">
      <w:pPr>
        <w:spacing w:after="200" w:line="276" w:lineRule="auto"/>
        <w:jc w:val="both"/>
        <w:rPr>
          <w:rFonts w:ascii="Arial" w:hAnsi="Arial" w:cs="Arial"/>
          <w:b/>
          <w:bCs/>
          <w:sz w:val="22"/>
          <w:szCs w:val="22"/>
        </w:rPr>
      </w:pPr>
      <w:r w:rsidRPr="00AA45C3">
        <w:rPr>
          <w:rFonts w:ascii="Arial" w:hAnsi="Arial" w:cs="Arial"/>
          <w:b/>
          <w:bCs/>
          <w:sz w:val="22"/>
          <w:szCs w:val="22"/>
        </w:rPr>
        <w:t xml:space="preserve">1000 kWh = 1 </w:t>
      </w:r>
      <w:proofErr w:type="spellStart"/>
      <w:r w:rsidRPr="00AA45C3">
        <w:rPr>
          <w:rFonts w:ascii="Arial" w:hAnsi="Arial" w:cs="Arial"/>
          <w:b/>
          <w:bCs/>
          <w:sz w:val="22"/>
          <w:szCs w:val="22"/>
        </w:rPr>
        <w:t>MWh</w:t>
      </w:r>
      <w:proofErr w:type="spellEnd"/>
      <w:r w:rsidRPr="00AA45C3">
        <w:rPr>
          <w:rFonts w:ascii="Arial" w:hAnsi="Arial" w:cs="Arial"/>
          <w:b/>
          <w:bCs/>
          <w:sz w:val="22"/>
          <w:szCs w:val="22"/>
        </w:rPr>
        <w:t xml:space="preserve"> = 3,6 GJ</w:t>
      </w:r>
    </w:p>
    <w:p w14:paraId="79347BF4" w14:textId="77777777" w:rsidR="00151065" w:rsidRDefault="00151065" w:rsidP="00C44084">
      <w:pPr>
        <w:spacing w:after="200" w:line="276" w:lineRule="auto"/>
        <w:jc w:val="both"/>
        <w:rPr>
          <w:rStyle w:val="Zdraznnintenzivn"/>
          <w:rFonts w:asciiTheme="majorHAnsi" w:eastAsiaTheme="minorHAnsi" w:hAnsiTheme="majorHAnsi" w:cstheme="minorHAnsi"/>
          <w:caps/>
          <w:color w:val="31849B" w:themeColor="accent5" w:themeShade="BF"/>
          <w:highlight w:val="yellow"/>
          <w:lang w:eastAsia="en-US"/>
        </w:rPr>
      </w:pPr>
      <w:r w:rsidRPr="006334FE">
        <w:rPr>
          <w:rFonts w:ascii="Arial" w:hAnsi="Arial" w:cs="Arial"/>
          <w:b/>
          <w:bCs/>
          <w:sz w:val="22"/>
          <w:szCs w:val="22"/>
        </w:rPr>
        <w:t>ŘO IROP doporučuje,</w:t>
      </w:r>
      <w:r w:rsidRPr="00AA45C3">
        <w:rPr>
          <w:rFonts w:ascii="Arial" w:hAnsi="Arial" w:cs="Arial"/>
          <w:b/>
          <w:bCs/>
          <w:sz w:val="22"/>
          <w:szCs w:val="22"/>
        </w:rPr>
        <w:t xml:space="preserve"> aby byl výpočet proveden energetickým specialistou, jenž je držitelem příslušného oprávnění dle § 10, odst. 1, zákona č. 406/2000 Sb., o hospodaření energií, ve znění pozdějších předpi</w:t>
      </w:r>
      <w:r>
        <w:rPr>
          <w:rFonts w:ascii="Arial" w:hAnsi="Arial" w:cs="Arial"/>
          <w:b/>
          <w:bCs/>
          <w:sz w:val="22"/>
          <w:szCs w:val="22"/>
        </w:rPr>
        <w:t>sů.</w:t>
      </w:r>
      <w:r w:rsidRPr="0084772A">
        <w:rPr>
          <w:rStyle w:val="Zdraznnintenzivn"/>
          <w:rFonts w:asciiTheme="majorHAnsi" w:eastAsiaTheme="minorHAnsi" w:hAnsiTheme="majorHAnsi" w:cstheme="minorHAnsi"/>
          <w:caps/>
          <w:color w:val="31849B" w:themeColor="accent5" w:themeShade="BF"/>
          <w:highlight w:val="yellow"/>
          <w:lang w:eastAsia="en-US"/>
        </w:rPr>
        <w:t xml:space="preserve"> </w:t>
      </w:r>
    </w:p>
    <w:p w14:paraId="6D8448AF" w14:textId="77777777" w:rsidR="00151065" w:rsidRDefault="00151065" w:rsidP="00151065">
      <w:pPr>
        <w:spacing w:after="200" w:line="276" w:lineRule="auto"/>
        <w:rPr>
          <w:rStyle w:val="Zdraznnintenzivn"/>
          <w:rFonts w:asciiTheme="majorHAnsi" w:eastAsiaTheme="minorHAnsi" w:hAnsiTheme="majorHAnsi" w:cstheme="minorHAnsi"/>
          <w:caps/>
          <w:color w:val="31849B" w:themeColor="accent5" w:themeShade="BF"/>
          <w:highlight w:val="yellow"/>
          <w:lang w:eastAsia="en-US"/>
        </w:rPr>
      </w:pPr>
      <w:r>
        <w:rPr>
          <w:rStyle w:val="Zdraznnintenzivn"/>
          <w:rFonts w:asciiTheme="majorHAnsi" w:eastAsiaTheme="minorHAnsi" w:hAnsiTheme="majorHAnsi" w:cstheme="minorHAnsi"/>
          <w:caps/>
          <w:color w:val="31849B" w:themeColor="accent5" w:themeShade="BF"/>
          <w:highlight w:val="yellow"/>
          <w:lang w:eastAsia="en-US"/>
        </w:rPr>
        <w:br w:type="page"/>
      </w: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18597B" w:rsidRPr="00CE6BEE" w14:paraId="7B311D14" w14:textId="77777777" w:rsidTr="00E97896">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4385B302" w14:textId="77777777" w:rsidR="0018597B" w:rsidRPr="000465C4" w:rsidRDefault="0018597B" w:rsidP="00E97896">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18597B" w:rsidRPr="00CE6BEE" w14:paraId="2EB03A91" w14:textId="77777777" w:rsidTr="00E97896">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581CD" w14:textId="77777777" w:rsidR="0018597B" w:rsidRPr="00C81922" w:rsidRDefault="0018597B" w:rsidP="00E97896">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160EC" w14:textId="6A123246" w:rsidR="0018597B" w:rsidRPr="00C81922" w:rsidRDefault="0018597B" w:rsidP="00E97896">
            <w:pPr>
              <w:spacing w:before="80" w:after="80" w:line="276" w:lineRule="auto"/>
              <w:ind w:right="170"/>
              <w:jc w:val="center"/>
              <w:rPr>
                <w:rFonts w:ascii="Arial" w:eastAsiaTheme="minorHAnsi" w:hAnsi="Arial" w:cs="Arial"/>
                <w:b/>
                <w:bCs/>
                <w:color w:val="000000"/>
                <w:lang w:eastAsia="en-US"/>
              </w:rPr>
            </w:pPr>
            <w:r>
              <w:rPr>
                <w:rFonts w:ascii="Arial" w:eastAsiaTheme="minorHAnsi" w:hAnsi="Arial" w:cs="Arial"/>
                <w:b/>
                <w:bCs/>
                <w:color w:val="000000"/>
                <w:lang w:eastAsia="en-US"/>
              </w:rPr>
              <w:t>554 6</w:t>
            </w:r>
            <w:r w:rsidR="005E25E6">
              <w:rPr>
                <w:rFonts w:ascii="Arial" w:eastAsiaTheme="minorHAnsi" w:hAnsi="Arial" w:cs="Arial"/>
                <w:b/>
                <w:bCs/>
                <w:color w:val="000000"/>
                <w:lang w:eastAsia="en-US"/>
              </w:rPr>
              <w:t>0</w:t>
            </w:r>
            <w:r>
              <w:rPr>
                <w:rFonts w:ascii="Arial" w:eastAsiaTheme="minorHAnsi" w:hAnsi="Arial" w:cs="Arial"/>
                <w:b/>
                <w:bCs/>
                <w:color w:val="000000"/>
                <w:lang w:eastAsia="en-US"/>
              </w:rPr>
              <w:t xml:space="preserve">1 </w:t>
            </w:r>
            <w:r w:rsidRPr="00C81922">
              <w:rPr>
                <w:rFonts w:ascii="Arial" w:eastAsiaTheme="minorHAnsi" w:hAnsi="Arial" w:cs="Arial"/>
                <w:b/>
                <w:bCs/>
                <w:color w:val="000000"/>
                <w:lang w:eastAsia="en-US"/>
              </w:rPr>
              <w:t xml:space="preserve">- </w:t>
            </w:r>
            <w:r>
              <w:rPr>
                <w:rFonts w:ascii="Arial" w:eastAsiaTheme="minorHAnsi" w:hAnsi="Arial" w:cs="Arial"/>
                <w:b/>
                <w:bCs/>
                <w:color w:val="000000"/>
                <w:lang w:eastAsia="en-US"/>
              </w:rPr>
              <w:t>Počet uživatelů nových nebo modernizovaných zařízení sociální péče za rok</w:t>
            </w:r>
          </w:p>
        </w:tc>
      </w:tr>
      <w:tr w:rsidR="0018597B" w:rsidRPr="00AB1542" w14:paraId="39753470" w14:textId="77777777" w:rsidTr="00E97896">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39C397D4" w14:textId="77777777" w:rsidR="0018597B" w:rsidRPr="00C81922" w:rsidRDefault="0018597B" w:rsidP="00E97896">
            <w:pPr>
              <w:pStyle w:val="Nadpis1"/>
              <w:spacing w:before="0" w:after="0"/>
              <w:ind w:left="57" w:right="57"/>
              <w:rPr>
                <w:rFonts w:ascii="Arial" w:hAnsi="Arial" w:cs="Arial"/>
              </w:rPr>
            </w:pPr>
            <w:r w:rsidRPr="00C81922">
              <w:rPr>
                <w:rFonts w:ascii="Arial" w:hAnsi="Arial" w:cs="Arial"/>
                <w:caps w:val="0"/>
                <w:sz w:val="22"/>
                <w:szCs w:val="22"/>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1FA480FA" w14:textId="77777777" w:rsidR="0018597B" w:rsidRPr="00C81922" w:rsidRDefault="0018597B" w:rsidP="00E97896">
            <w:pPr>
              <w:pStyle w:val="Nadpis1"/>
              <w:spacing w:before="0" w:after="0"/>
              <w:ind w:left="57" w:right="57"/>
              <w:rPr>
                <w:rFonts w:ascii="Arial" w:hAnsi="Arial" w:cs="Arial"/>
                <w:caps w:val="0"/>
                <w:sz w:val="22"/>
                <w:szCs w:val="22"/>
              </w:rPr>
            </w:pPr>
            <w:r w:rsidRPr="00C81922">
              <w:rPr>
                <w:rFonts w:ascii="Arial" w:hAnsi="Arial" w:cs="Arial"/>
                <w:caps w:val="0"/>
                <w:sz w:val="22"/>
                <w:szCs w:val="22"/>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4F4ABF3" w14:textId="77777777" w:rsidR="0018597B" w:rsidRPr="00C81922" w:rsidRDefault="0018597B" w:rsidP="00E97896">
            <w:pPr>
              <w:pStyle w:val="Nadpis1"/>
              <w:spacing w:before="0" w:after="0"/>
              <w:ind w:left="57" w:right="57"/>
              <w:rPr>
                <w:rFonts w:ascii="Arial" w:hAnsi="Arial" w:cs="Arial"/>
                <w:caps w:val="0"/>
                <w:sz w:val="22"/>
                <w:szCs w:val="22"/>
              </w:rPr>
            </w:pPr>
            <w:r w:rsidRPr="00C81922">
              <w:rPr>
                <w:rFonts w:ascii="Arial" w:hAnsi="Arial" w:cs="Arial"/>
                <w:caps w:val="0"/>
                <w:sz w:val="22"/>
                <w:szCs w:val="22"/>
              </w:rPr>
              <w:t>Typ indikátoru</w:t>
            </w:r>
          </w:p>
        </w:tc>
      </w:tr>
      <w:tr w:rsidR="0018597B" w:rsidRPr="00AB1542" w14:paraId="655F2D4E" w14:textId="77777777" w:rsidTr="00E97896">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0697823" w14:textId="571FA169" w:rsidR="0018597B" w:rsidRPr="00C81922" w:rsidRDefault="0018597B" w:rsidP="00E97896">
            <w:pPr>
              <w:pStyle w:val="Nadpis1"/>
              <w:spacing w:before="0" w:after="0"/>
              <w:ind w:left="57" w:right="57"/>
              <w:rPr>
                <w:rFonts w:ascii="Arial" w:hAnsi="Arial" w:cs="Arial"/>
                <w:caps w:val="0"/>
                <w:sz w:val="22"/>
                <w:szCs w:val="22"/>
              </w:rPr>
            </w:pPr>
            <w:r w:rsidRPr="00C81922">
              <w:rPr>
                <w:rFonts w:ascii="Arial" w:hAnsi="Arial" w:cs="Arial"/>
                <w:caps w:val="0"/>
                <w:sz w:val="22"/>
                <w:szCs w:val="22"/>
              </w:rPr>
              <w:t xml:space="preserve">IROP </w:t>
            </w:r>
            <w:r w:rsidR="00D75F24">
              <w:rPr>
                <w:rFonts w:ascii="Arial" w:hAnsi="Arial" w:cs="Arial"/>
                <w:caps w:val="0"/>
                <w:sz w:val="22"/>
                <w:szCs w:val="22"/>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4932D38C" w14:textId="77777777" w:rsidR="0018597B" w:rsidRPr="00C81922" w:rsidRDefault="0018597B" w:rsidP="00E97896">
            <w:pPr>
              <w:pStyle w:val="Nadpis1"/>
              <w:spacing w:before="0" w:after="0"/>
              <w:ind w:left="57" w:right="57"/>
              <w:rPr>
                <w:rFonts w:ascii="Arial" w:hAnsi="Arial" w:cs="Arial"/>
                <w:caps w:val="0"/>
                <w:sz w:val="22"/>
                <w:szCs w:val="22"/>
              </w:rPr>
            </w:pPr>
            <w:r>
              <w:rPr>
                <w:rFonts w:ascii="Arial" w:hAnsi="Arial" w:cs="Arial"/>
                <w:caps w:val="0"/>
              </w:rPr>
              <w:t>uživatelé/rok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DEA6CDD" w14:textId="77777777" w:rsidR="0018597B" w:rsidRPr="00C81922" w:rsidRDefault="0018597B" w:rsidP="00E97896">
            <w:pPr>
              <w:pStyle w:val="Nadpis1"/>
              <w:spacing w:before="0" w:after="0"/>
              <w:ind w:left="57" w:right="57"/>
              <w:rPr>
                <w:rFonts w:ascii="Arial" w:hAnsi="Arial" w:cs="Arial"/>
                <w:caps w:val="0"/>
                <w:sz w:val="22"/>
                <w:szCs w:val="22"/>
              </w:rPr>
            </w:pPr>
            <w:r>
              <w:rPr>
                <w:rFonts w:ascii="Arial" w:hAnsi="Arial" w:cs="Arial"/>
                <w:caps w:val="0"/>
                <w:sz w:val="22"/>
                <w:szCs w:val="22"/>
              </w:rPr>
              <w:t>výsledek</w:t>
            </w:r>
          </w:p>
        </w:tc>
      </w:tr>
    </w:tbl>
    <w:p w14:paraId="0F59ED12" w14:textId="77777777" w:rsidR="0018597B" w:rsidRPr="00461D6A" w:rsidRDefault="0018597B" w:rsidP="0018597B">
      <w:pPr>
        <w:rPr>
          <w:sz w:val="16"/>
          <w:szCs w:val="16"/>
          <w:highlight w:val="lightGray"/>
        </w:rPr>
      </w:pPr>
    </w:p>
    <w:p w14:paraId="07E875F4" w14:textId="77777777" w:rsidR="0018597B" w:rsidRPr="00AB1542" w:rsidRDefault="0018597B" w:rsidP="0018597B">
      <w:pPr>
        <w:pStyle w:val="Nadpis1"/>
        <w:spacing w:after="0"/>
        <w:ind w:left="0"/>
        <w:jc w:val="both"/>
        <w:rPr>
          <w:rStyle w:val="Zdraznnintenzivn"/>
          <w:rFonts w:ascii="Arial" w:hAnsi="Arial" w:cs="Arial"/>
          <w:color w:val="31849B" w:themeColor="accent5" w:themeShade="BF"/>
        </w:rPr>
      </w:pPr>
      <w:r w:rsidRPr="00AB1542">
        <w:rPr>
          <w:rStyle w:val="Zdraznnintenzivn"/>
          <w:rFonts w:ascii="Arial" w:hAnsi="Arial" w:cs="Arial"/>
          <w:color w:val="31849B" w:themeColor="accent5" w:themeShade="BF"/>
        </w:rPr>
        <w:t xml:space="preserve">Definice indikátoru </w:t>
      </w:r>
    </w:p>
    <w:p w14:paraId="7C01BDC5" w14:textId="36B1EB9A" w:rsidR="0018597B" w:rsidRPr="009A4CBD" w:rsidRDefault="0018597B" w:rsidP="0018597B">
      <w:pPr>
        <w:spacing w:after="200" w:line="276" w:lineRule="auto"/>
        <w:jc w:val="both"/>
        <w:rPr>
          <w:rFonts w:ascii="Arial" w:hAnsi="Arial" w:cs="Arial"/>
          <w:sz w:val="22"/>
          <w:szCs w:val="22"/>
        </w:rPr>
      </w:pPr>
      <w:r>
        <w:rPr>
          <w:rFonts w:ascii="Arial" w:hAnsi="Arial" w:cs="Arial"/>
          <w:sz w:val="22"/>
          <w:szCs w:val="22"/>
        </w:rPr>
        <w:t>Počet registrovaných pacientů obsluhovaných alespoň jednou novým nebo modernizovaným zařízením sociální péče v průběhu roku po ukončení intervence. Výchozí hodnota ukazatele se týká registrovaných pacientů obsluhovaných alespoň jednou zařízením sociální péče v</w:t>
      </w:r>
      <w:r w:rsidR="003352F8">
        <w:rPr>
          <w:rFonts w:ascii="Arial" w:hAnsi="Arial" w:cs="Arial"/>
          <w:sz w:val="22"/>
          <w:szCs w:val="22"/>
        </w:rPr>
        <w:t> </w:t>
      </w:r>
      <w:r>
        <w:rPr>
          <w:rFonts w:ascii="Arial" w:hAnsi="Arial" w:cs="Arial"/>
          <w:sz w:val="22"/>
          <w:szCs w:val="22"/>
        </w:rPr>
        <w:t>průběhu roku před zahájením intervence, a pro nová zařízení může být nulová.</w:t>
      </w:r>
    </w:p>
    <w:p w14:paraId="69DA2E3E" w14:textId="77777777" w:rsidR="0018597B" w:rsidRPr="000465C4" w:rsidRDefault="0018597B" w:rsidP="0018597B">
      <w:pPr>
        <w:pStyle w:val="Nadpis1"/>
        <w:spacing w:after="0"/>
        <w:ind w:left="0"/>
        <w:jc w:val="both"/>
        <w:rPr>
          <w:rStyle w:val="Zdraznnintenzivn"/>
          <w:rFonts w:ascii="Arial" w:hAnsi="Arial" w:cs="Arial"/>
          <w:color w:val="31849B" w:themeColor="accent5" w:themeShade="BF"/>
        </w:rPr>
      </w:pPr>
      <w:r w:rsidRPr="000465C4">
        <w:rPr>
          <w:rStyle w:val="Zdraznnintenzivn"/>
          <w:rFonts w:ascii="Arial" w:hAnsi="Arial" w:cs="Arial"/>
          <w:color w:val="31849B" w:themeColor="accent5" w:themeShade="BF"/>
        </w:rPr>
        <w:t>Upřesňující informace</w:t>
      </w:r>
    </w:p>
    <w:p w14:paraId="386F6113" w14:textId="23EBDCDD" w:rsidR="003338E8" w:rsidRPr="003274A4" w:rsidRDefault="003338E8" w:rsidP="003274A4">
      <w:pPr>
        <w:spacing w:before="120" w:after="120" w:line="271" w:lineRule="auto"/>
        <w:jc w:val="both"/>
        <w:rPr>
          <w:rFonts w:ascii="Arial" w:hAnsi="Arial" w:cs="Arial"/>
          <w:sz w:val="22"/>
          <w:szCs w:val="22"/>
        </w:rPr>
      </w:pPr>
      <w:r w:rsidRPr="003274A4">
        <w:rPr>
          <w:rFonts w:ascii="Arial" w:hAnsi="Arial" w:cs="Arial"/>
          <w:sz w:val="22"/>
          <w:szCs w:val="22"/>
        </w:rPr>
        <w:t xml:space="preserve">Indikátor je povinný k výběru a naplnění pro všechny projekty výzvy. </w:t>
      </w:r>
    </w:p>
    <w:p w14:paraId="70A0A4CC" w14:textId="0E299A15" w:rsidR="00F73C1B" w:rsidRDefault="00F73C1B" w:rsidP="003274A4">
      <w:pPr>
        <w:spacing w:before="120" w:after="120" w:line="271" w:lineRule="auto"/>
        <w:jc w:val="both"/>
        <w:rPr>
          <w:rFonts w:ascii="Arial" w:hAnsi="Arial" w:cs="Arial"/>
          <w:sz w:val="22"/>
          <w:szCs w:val="22"/>
        </w:rPr>
      </w:pPr>
      <w:r w:rsidRPr="00F73C1B">
        <w:rPr>
          <w:rFonts w:ascii="Arial" w:hAnsi="Arial" w:cs="Arial"/>
          <w:sz w:val="22"/>
          <w:szCs w:val="22"/>
        </w:rPr>
        <w:t>Počet</w:t>
      </w:r>
      <w:r w:rsidR="00A77546">
        <w:rPr>
          <w:rFonts w:ascii="Arial" w:hAnsi="Arial" w:cs="Arial"/>
          <w:sz w:val="22"/>
          <w:szCs w:val="22"/>
        </w:rPr>
        <w:t xml:space="preserve"> uživatelů (</w:t>
      </w:r>
      <w:r>
        <w:rPr>
          <w:rFonts w:ascii="Arial" w:hAnsi="Arial" w:cs="Arial"/>
          <w:sz w:val="22"/>
          <w:szCs w:val="22"/>
        </w:rPr>
        <w:t>osob</w:t>
      </w:r>
      <w:r w:rsidR="00A77546">
        <w:rPr>
          <w:rFonts w:ascii="Arial" w:hAnsi="Arial" w:cs="Arial"/>
          <w:sz w:val="22"/>
          <w:szCs w:val="22"/>
        </w:rPr>
        <w:t>)</w:t>
      </w:r>
      <w:r>
        <w:rPr>
          <w:rStyle w:val="Znakapoznpodarou"/>
          <w:rFonts w:ascii="Arial" w:hAnsi="Arial" w:cs="Arial"/>
          <w:sz w:val="22"/>
          <w:szCs w:val="22"/>
        </w:rPr>
        <w:footnoteReference w:id="7"/>
      </w:r>
      <w:r>
        <w:rPr>
          <w:rFonts w:ascii="Arial" w:hAnsi="Arial" w:cs="Arial"/>
          <w:sz w:val="22"/>
          <w:szCs w:val="22"/>
        </w:rPr>
        <w:t xml:space="preserve"> </w:t>
      </w:r>
      <w:r w:rsidRPr="00F73C1B">
        <w:rPr>
          <w:rFonts w:ascii="Arial" w:hAnsi="Arial" w:cs="Arial"/>
          <w:sz w:val="22"/>
          <w:szCs w:val="22"/>
        </w:rPr>
        <w:t>obsluhovaných alespoň jednou novým nebo modernizovaným zařízením sociální péče v průběhu roku po ukončení intervence.</w:t>
      </w:r>
      <w:r w:rsidR="00411BE0">
        <w:rPr>
          <w:rFonts w:ascii="Arial" w:hAnsi="Arial" w:cs="Arial"/>
          <w:sz w:val="22"/>
          <w:szCs w:val="22"/>
        </w:rPr>
        <w:t xml:space="preserve"> Příjemce má povinnost toto číslo doložit jím vedenou evidencí osob, kterým nějakou službu poskytl.</w:t>
      </w:r>
      <w:r w:rsidRPr="00F73C1B">
        <w:rPr>
          <w:rFonts w:ascii="Arial" w:hAnsi="Arial" w:cs="Arial"/>
          <w:sz w:val="22"/>
          <w:szCs w:val="22"/>
        </w:rPr>
        <w:t xml:space="preserve"> </w:t>
      </w:r>
      <w:r w:rsidR="00411BE0" w:rsidRPr="00411BE0">
        <w:rPr>
          <w:rFonts w:ascii="Arial" w:hAnsi="Arial" w:cs="Arial"/>
          <w:sz w:val="22"/>
          <w:szCs w:val="22"/>
        </w:rPr>
        <w:t xml:space="preserve">Pokud žadatel obsluhuje i osoby, které nevede v evidenci, odhadne </w:t>
      </w:r>
      <w:r w:rsidR="00411BE0">
        <w:rPr>
          <w:rFonts w:ascii="Arial" w:hAnsi="Arial" w:cs="Arial"/>
          <w:sz w:val="22"/>
          <w:szCs w:val="22"/>
        </w:rPr>
        <w:t xml:space="preserve">unikátní počet takových osob </w:t>
      </w:r>
      <w:r w:rsidR="00411BE0" w:rsidRPr="00411BE0">
        <w:rPr>
          <w:rFonts w:ascii="Arial" w:hAnsi="Arial" w:cs="Arial"/>
          <w:sz w:val="22"/>
          <w:szCs w:val="22"/>
        </w:rPr>
        <w:t>kvalifikovaným odhadem</w:t>
      </w:r>
      <w:r w:rsidR="00411BE0">
        <w:rPr>
          <w:rFonts w:ascii="Arial" w:hAnsi="Arial" w:cs="Arial"/>
          <w:sz w:val="22"/>
          <w:szCs w:val="22"/>
        </w:rPr>
        <w:t xml:space="preserve"> a přičte ho k osobám, které eviduje.</w:t>
      </w:r>
    </w:p>
    <w:p w14:paraId="398208CF" w14:textId="0DAFFB3E" w:rsidR="0018597B" w:rsidRPr="009A4CBD" w:rsidRDefault="00A77546" w:rsidP="003274A4">
      <w:pPr>
        <w:spacing w:before="120" w:after="120" w:line="271" w:lineRule="auto"/>
        <w:ind w:right="227"/>
        <w:jc w:val="both"/>
        <w:rPr>
          <w:rFonts w:ascii="Arial" w:hAnsi="Arial" w:cs="Arial"/>
          <w:sz w:val="22"/>
          <w:szCs w:val="22"/>
        </w:rPr>
      </w:pPr>
      <w:r w:rsidRPr="00A77546">
        <w:rPr>
          <w:rFonts w:ascii="Arial" w:hAnsi="Arial" w:cs="Arial"/>
          <w:sz w:val="22"/>
          <w:szCs w:val="22"/>
        </w:rPr>
        <w:t>Hodnoty jsou vykazovány jako prostý součet uživatelů</w:t>
      </w:r>
      <w:r w:rsidR="00151065">
        <w:rPr>
          <w:rFonts w:ascii="Arial" w:hAnsi="Arial" w:cs="Arial"/>
          <w:sz w:val="22"/>
          <w:szCs w:val="22"/>
        </w:rPr>
        <w:t xml:space="preserve">. </w:t>
      </w:r>
      <w:r w:rsidRPr="00A77546">
        <w:rPr>
          <w:rFonts w:ascii="Arial" w:hAnsi="Arial" w:cs="Arial"/>
          <w:sz w:val="22"/>
          <w:szCs w:val="22"/>
        </w:rPr>
        <w:t>Hodnota je vykazována s přesností na celé jednotky (není možné vykázat desetinné číslo).</w:t>
      </w:r>
    </w:p>
    <w:p w14:paraId="1B77A38D" w14:textId="77777777" w:rsidR="0018597B" w:rsidRDefault="0018597B" w:rsidP="0018597B">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57CB80E3" w14:textId="058DAE95" w:rsidR="00A77546" w:rsidRPr="0039640C" w:rsidRDefault="0018597B" w:rsidP="00A77546">
      <w:pPr>
        <w:spacing w:line="276" w:lineRule="auto"/>
        <w:jc w:val="both"/>
        <w:rPr>
          <w:rFonts w:ascii="Arial" w:hAnsi="Arial" w:cs="Arial"/>
          <w:b/>
          <w:bCs/>
          <w:sz w:val="22"/>
          <w:szCs w:val="22"/>
          <w:u w:val="single"/>
        </w:rPr>
      </w:pPr>
      <w:r>
        <w:rPr>
          <w:rFonts w:ascii="Arial" w:hAnsi="Arial" w:cs="Arial"/>
          <w:b/>
          <w:bCs/>
          <w:sz w:val="22"/>
          <w:szCs w:val="22"/>
        </w:rPr>
        <w:t>Výchozí</w:t>
      </w:r>
      <w:r w:rsidRPr="009A4CBD">
        <w:rPr>
          <w:rFonts w:ascii="Arial" w:hAnsi="Arial" w:cs="Arial"/>
          <w:b/>
          <w:bCs/>
          <w:sz w:val="22"/>
          <w:szCs w:val="22"/>
        </w:rPr>
        <w:t xml:space="preserve"> hodnota:</w:t>
      </w:r>
      <w:r>
        <w:rPr>
          <w:rFonts w:ascii="Arial" w:hAnsi="Arial" w:cs="Arial"/>
          <w:b/>
          <w:bCs/>
          <w:sz w:val="22"/>
          <w:szCs w:val="22"/>
        </w:rPr>
        <w:t xml:space="preserve"> </w:t>
      </w:r>
      <w:r w:rsidR="00411BE0">
        <w:rPr>
          <w:rFonts w:ascii="Arial" w:hAnsi="Arial" w:cs="Arial"/>
          <w:b/>
          <w:bCs/>
          <w:sz w:val="22"/>
          <w:szCs w:val="22"/>
        </w:rPr>
        <w:t>P</w:t>
      </w:r>
      <w:r w:rsidR="00A77546">
        <w:rPr>
          <w:rFonts w:ascii="Arial" w:hAnsi="Arial" w:cs="Arial"/>
          <w:b/>
          <w:bCs/>
          <w:sz w:val="22"/>
          <w:szCs w:val="22"/>
        </w:rPr>
        <w:t xml:space="preserve">očet osob, které </w:t>
      </w:r>
      <w:r w:rsidR="004B3A19">
        <w:rPr>
          <w:rFonts w:ascii="Arial" w:hAnsi="Arial" w:cs="Arial"/>
          <w:b/>
          <w:bCs/>
          <w:sz w:val="22"/>
          <w:szCs w:val="22"/>
        </w:rPr>
        <w:t xml:space="preserve">podpořené </w:t>
      </w:r>
      <w:r w:rsidR="00A77546">
        <w:rPr>
          <w:rFonts w:ascii="Arial" w:hAnsi="Arial" w:cs="Arial"/>
          <w:b/>
          <w:bCs/>
          <w:sz w:val="22"/>
          <w:szCs w:val="22"/>
        </w:rPr>
        <w:t xml:space="preserve">zařízení nejméně </w:t>
      </w:r>
      <w:r w:rsidR="00A77546">
        <w:rPr>
          <w:rFonts w:ascii="Arial" w:hAnsi="Arial" w:cs="Arial"/>
          <w:sz w:val="22"/>
          <w:szCs w:val="22"/>
        </w:rPr>
        <w:t xml:space="preserve">jednou </w:t>
      </w:r>
      <w:r w:rsidR="00411BE0">
        <w:rPr>
          <w:rFonts w:ascii="Arial" w:hAnsi="Arial" w:cs="Arial"/>
          <w:sz w:val="22"/>
          <w:szCs w:val="22"/>
        </w:rPr>
        <w:t>o</w:t>
      </w:r>
      <w:r w:rsidR="004B3A19">
        <w:rPr>
          <w:rFonts w:ascii="Arial" w:hAnsi="Arial" w:cs="Arial"/>
          <w:sz w:val="22"/>
          <w:szCs w:val="22"/>
        </w:rPr>
        <w:t>b</w:t>
      </w:r>
      <w:r w:rsidR="00411BE0">
        <w:rPr>
          <w:rFonts w:ascii="Arial" w:hAnsi="Arial" w:cs="Arial"/>
          <w:sz w:val="22"/>
          <w:szCs w:val="22"/>
        </w:rPr>
        <w:t>sloužilo během posledního kalendářního roku před podáním</w:t>
      </w:r>
      <w:r w:rsidR="00A46E6E">
        <w:rPr>
          <w:rFonts w:ascii="Arial" w:hAnsi="Arial" w:cs="Arial"/>
          <w:sz w:val="22"/>
          <w:szCs w:val="22"/>
        </w:rPr>
        <w:t xml:space="preserve"> žádosti o podporu</w:t>
      </w:r>
      <w:r w:rsidR="00411BE0">
        <w:rPr>
          <w:rFonts w:ascii="Arial" w:hAnsi="Arial" w:cs="Arial"/>
          <w:sz w:val="22"/>
          <w:szCs w:val="22"/>
        </w:rPr>
        <w:t>.</w:t>
      </w:r>
      <w:r w:rsidR="00A77546">
        <w:rPr>
          <w:rFonts w:ascii="Arial" w:hAnsi="Arial" w:cs="Arial"/>
          <w:sz w:val="22"/>
          <w:szCs w:val="22"/>
        </w:rPr>
        <w:t xml:space="preserve"> </w:t>
      </w:r>
      <w:r w:rsidR="00411BE0">
        <w:rPr>
          <w:rFonts w:ascii="Arial" w:hAnsi="Arial" w:cs="Arial"/>
          <w:sz w:val="22"/>
          <w:szCs w:val="22"/>
        </w:rPr>
        <w:t>Pokud žadatel obsluhuje i osoby, které nevede v evidenci, odhadne jejich unikátní počet kvalifikovaným odhadem.</w:t>
      </w:r>
    </w:p>
    <w:p w14:paraId="0434B734" w14:textId="758A1115" w:rsidR="0018597B" w:rsidRPr="009A4CBD" w:rsidRDefault="0018597B" w:rsidP="003274A4">
      <w:pPr>
        <w:spacing w:before="120" w:after="120" w:line="276" w:lineRule="auto"/>
        <w:jc w:val="both"/>
        <w:rPr>
          <w:rFonts w:ascii="Arial" w:hAnsi="Arial" w:cs="Arial"/>
          <w:sz w:val="22"/>
          <w:szCs w:val="22"/>
        </w:rPr>
      </w:pPr>
      <w:r w:rsidRPr="009A4CBD">
        <w:rPr>
          <w:rFonts w:ascii="Arial" w:hAnsi="Arial" w:cs="Arial"/>
          <w:b/>
          <w:bCs/>
          <w:sz w:val="22"/>
          <w:szCs w:val="22"/>
        </w:rPr>
        <w:t>Cílová hodnota:</w:t>
      </w:r>
      <w:r w:rsidRPr="009A4CBD">
        <w:rPr>
          <w:rFonts w:ascii="Arial" w:hAnsi="Arial" w:cs="Arial"/>
          <w:sz w:val="22"/>
          <w:szCs w:val="22"/>
        </w:rPr>
        <w:t xml:space="preserve"> </w:t>
      </w:r>
      <w:r w:rsidR="003274A4">
        <w:rPr>
          <w:rFonts w:ascii="Arial" w:hAnsi="Arial" w:cs="Arial"/>
          <w:sz w:val="22"/>
          <w:szCs w:val="22"/>
        </w:rPr>
        <w:t>P</w:t>
      </w:r>
      <w:r w:rsidR="004B3A19">
        <w:rPr>
          <w:rFonts w:ascii="Arial" w:hAnsi="Arial" w:cs="Arial"/>
          <w:sz w:val="22"/>
          <w:szCs w:val="22"/>
        </w:rPr>
        <w:t>lánovaný p</w:t>
      </w:r>
      <w:r w:rsidR="004B3A19" w:rsidRPr="004B3A19">
        <w:rPr>
          <w:rFonts w:ascii="Arial" w:hAnsi="Arial" w:cs="Arial"/>
          <w:sz w:val="22"/>
          <w:szCs w:val="22"/>
        </w:rPr>
        <w:t xml:space="preserve">očet osob, které podpořené zařízení </w:t>
      </w:r>
      <w:r w:rsidR="004B3A19">
        <w:rPr>
          <w:rFonts w:ascii="Arial" w:hAnsi="Arial" w:cs="Arial"/>
          <w:sz w:val="22"/>
          <w:szCs w:val="22"/>
        </w:rPr>
        <w:t>j</w:t>
      </w:r>
      <w:r w:rsidR="004B3A19" w:rsidRPr="004B3A19">
        <w:rPr>
          <w:rFonts w:ascii="Arial" w:hAnsi="Arial" w:cs="Arial"/>
          <w:sz w:val="22"/>
          <w:szCs w:val="22"/>
        </w:rPr>
        <w:t xml:space="preserve">ednou </w:t>
      </w:r>
      <w:proofErr w:type="gramStart"/>
      <w:r w:rsidR="004B3A19" w:rsidRPr="004B3A19">
        <w:rPr>
          <w:rFonts w:ascii="Arial" w:hAnsi="Arial" w:cs="Arial"/>
          <w:sz w:val="22"/>
          <w:szCs w:val="22"/>
        </w:rPr>
        <w:t>obslouž</w:t>
      </w:r>
      <w:r w:rsidR="004B3A19">
        <w:rPr>
          <w:rFonts w:ascii="Arial" w:hAnsi="Arial" w:cs="Arial"/>
          <w:sz w:val="22"/>
          <w:szCs w:val="22"/>
        </w:rPr>
        <w:t>í</w:t>
      </w:r>
      <w:proofErr w:type="gramEnd"/>
      <w:r w:rsidR="004B3A19">
        <w:rPr>
          <w:rFonts w:ascii="Arial" w:hAnsi="Arial" w:cs="Arial"/>
          <w:sz w:val="22"/>
          <w:szCs w:val="22"/>
        </w:rPr>
        <w:t xml:space="preserve"> </w:t>
      </w:r>
      <w:r w:rsidR="004B3A19" w:rsidRPr="004B3A19">
        <w:rPr>
          <w:rFonts w:ascii="Arial" w:hAnsi="Arial" w:cs="Arial"/>
          <w:sz w:val="22"/>
          <w:szCs w:val="22"/>
        </w:rPr>
        <w:t xml:space="preserve">během </w:t>
      </w:r>
      <w:r w:rsidR="004B3A19">
        <w:rPr>
          <w:rFonts w:ascii="Arial" w:hAnsi="Arial" w:cs="Arial"/>
          <w:sz w:val="22"/>
          <w:szCs w:val="22"/>
        </w:rPr>
        <w:t>1. roku udržitelnosti projektu</w:t>
      </w:r>
      <w:r w:rsidR="004B3A19" w:rsidRPr="004B3A19">
        <w:rPr>
          <w:rFonts w:ascii="Arial" w:hAnsi="Arial" w:cs="Arial"/>
          <w:sz w:val="22"/>
          <w:szCs w:val="22"/>
        </w:rPr>
        <w:t xml:space="preserve">. </w:t>
      </w:r>
      <w:r w:rsidRPr="004B3A19">
        <w:rPr>
          <w:rFonts w:ascii="Arial" w:hAnsi="Arial" w:cs="Arial"/>
          <w:b/>
          <w:bCs/>
          <w:sz w:val="22"/>
          <w:szCs w:val="22"/>
        </w:rPr>
        <w:t xml:space="preserve">Žadatel v </w:t>
      </w:r>
      <w:r w:rsidR="00AC5B2C">
        <w:rPr>
          <w:rFonts w:ascii="Arial" w:hAnsi="Arial" w:cs="Arial"/>
          <w:b/>
          <w:bCs/>
          <w:sz w:val="22"/>
          <w:szCs w:val="22"/>
        </w:rPr>
        <w:t>podkladech pro hodnocení</w:t>
      </w:r>
      <w:r w:rsidRPr="004B3A19">
        <w:rPr>
          <w:rFonts w:ascii="Arial" w:hAnsi="Arial" w:cs="Arial"/>
          <w:b/>
          <w:bCs/>
          <w:sz w:val="22"/>
          <w:szCs w:val="22"/>
        </w:rPr>
        <w:t xml:space="preserve"> uvede způsob výpočtu tak, aby jeho výsledek odpovídal cílové hodnotě a bylo možné ho ověřit. </w:t>
      </w:r>
      <w:r w:rsidRPr="004B3A19">
        <w:rPr>
          <w:rFonts w:ascii="Arial" w:hAnsi="Arial" w:cs="Arial"/>
          <w:sz w:val="22"/>
          <w:szCs w:val="22"/>
        </w:rPr>
        <w:t>Tuto hodnotu se příjemce</w:t>
      </w:r>
      <w:r w:rsidRPr="009A4CBD">
        <w:rPr>
          <w:rFonts w:ascii="Arial" w:hAnsi="Arial" w:cs="Arial"/>
          <w:sz w:val="22"/>
          <w:szCs w:val="22"/>
        </w:rPr>
        <w:t xml:space="preserve"> zavazuje naplnit k datu </w:t>
      </w:r>
      <w:r w:rsidRPr="004B3A19">
        <w:rPr>
          <w:rFonts w:ascii="Arial" w:hAnsi="Arial" w:cs="Arial"/>
          <w:color w:val="000000" w:themeColor="text1"/>
          <w:sz w:val="22"/>
          <w:szCs w:val="22"/>
        </w:rPr>
        <w:t>konce prvního roku udržitelnosti projektu</w:t>
      </w:r>
      <w:r w:rsidRPr="004B3A19">
        <w:rPr>
          <w:rStyle w:val="Znakapoznpodarou"/>
          <w:rFonts w:ascii="Arial" w:hAnsi="Arial" w:cs="Arial"/>
          <w:color w:val="000000" w:themeColor="text1"/>
          <w:sz w:val="22"/>
          <w:szCs w:val="22"/>
        </w:rPr>
        <w:footnoteReference w:id="8"/>
      </w:r>
      <w:r w:rsidRPr="004B3A19">
        <w:rPr>
          <w:rFonts w:ascii="Arial" w:hAnsi="Arial" w:cs="Arial"/>
          <w:color w:val="000000" w:themeColor="text1"/>
          <w:sz w:val="22"/>
          <w:szCs w:val="22"/>
        </w:rPr>
        <w:t xml:space="preserve"> </w:t>
      </w:r>
      <w:r w:rsidRPr="004B3A19">
        <w:rPr>
          <w:rFonts w:ascii="Arial" w:hAnsi="Arial" w:cs="Arial"/>
          <w:sz w:val="22"/>
          <w:szCs w:val="22"/>
        </w:rPr>
        <w:t>a od tohoto okamžiku udržet až do konce udržitelnosti projektu.</w:t>
      </w:r>
      <w:r w:rsidRPr="009A4CBD">
        <w:rPr>
          <w:rFonts w:ascii="Arial" w:hAnsi="Arial" w:cs="Arial"/>
          <w:sz w:val="22"/>
          <w:szCs w:val="22"/>
        </w:rPr>
        <w:t xml:space="preserve"> </w:t>
      </w:r>
    </w:p>
    <w:p w14:paraId="7564EE93" w14:textId="042D39AA" w:rsidR="0018597B" w:rsidRPr="004B3A19" w:rsidRDefault="0018597B" w:rsidP="003274A4">
      <w:pPr>
        <w:spacing w:before="120" w:after="120" w:line="276" w:lineRule="auto"/>
        <w:jc w:val="both"/>
        <w:rPr>
          <w:rFonts w:ascii="Arial" w:hAnsi="Arial" w:cs="Arial"/>
          <w:sz w:val="22"/>
          <w:szCs w:val="22"/>
        </w:rPr>
      </w:pPr>
      <w:r w:rsidRPr="009A4CBD">
        <w:rPr>
          <w:rFonts w:ascii="Arial" w:hAnsi="Arial" w:cs="Arial"/>
          <w:b/>
          <w:bCs/>
          <w:sz w:val="22"/>
          <w:szCs w:val="22"/>
        </w:rPr>
        <w:t>Datum cílové hodnoty</w:t>
      </w:r>
      <w:r w:rsidRPr="004B3A19">
        <w:rPr>
          <w:rFonts w:ascii="Arial" w:hAnsi="Arial" w:cs="Arial"/>
          <w:b/>
          <w:bCs/>
          <w:sz w:val="22"/>
          <w:szCs w:val="22"/>
        </w:rPr>
        <w:t>:</w:t>
      </w:r>
      <w:r w:rsidRPr="004B3A19">
        <w:rPr>
          <w:rFonts w:ascii="Arial" w:hAnsi="Arial" w:cs="Arial"/>
          <w:sz w:val="22"/>
          <w:szCs w:val="22"/>
        </w:rPr>
        <w:t xml:space="preserve"> Žadatel v žádosti o podporu stanovuje jako datum konce 1. roku udržitelnosti projektu. Datum se považuje za Rozhodné datum pro naplnění indikátoru a jsou k němu vztahovány další postupy v době udržitelnosti. Protože žadateli není v okamžiku</w:t>
      </w:r>
      <w:r w:rsidRPr="008E4F0B">
        <w:rPr>
          <w:rFonts w:ascii="Arial" w:hAnsi="Arial" w:cs="Arial"/>
          <w:sz w:val="22"/>
          <w:szCs w:val="22"/>
        </w:rPr>
        <w:t xml:space="preserve"> podání žádosti známo, kdy nastane přesné datum konce </w:t>
      </w:r>
      <w:r>
        <w:rPr>
          <w:rFonts w:ascii="Arial" w:hAnsi="Arial" w:cs="Arial"/>
          <w:sz w:val="22"/>
          <w:szCs w:val="22"/>
        </w:rPr>
        <w:t xml:space="preserve">1. </w:t>
      </w:r>
      <w:r w:rsidRPr="008E4F0B">
        <w:rPr>
          <w:rFonts w:ascii="Arial" w:hAnsi="Arial" w:cs="Arial"/>
          <w:sz w:val="22"/>
          <w:szCs w:val="22"/>
        </w:rPr>
        <w:t xml:space="preserve">roku udržitelnosti, bude datum na </w:t>
      </w:r>
      <w:r w:rsidRPr="004B3A19">
        <w:rPr>
          <w:rFonts w:ascii="Arial" w:hAnsi="Arial" w:cs="Arial"/>
          <w:sz w:val="22"/>
          <w:szCs w:val="22"/>
        </w:rPr>
        <w:t xml:space="preserve">projektu </w:t>
      </w:r>
      <w:r w:rsidRPr="004B3A19">
        <w:rPr>
          <w:rFonts w:ascii="Arial" w:hAnsi="Arial" w:cs="Arial"/>
          <w:b/>
          <w:bCs/>
          <w:sz w:val="22"/>
          <w:szCs w:val="22"/>
        </w:rPr>
        <w:t>orientačně</w:t>
      </w:r>
      <w:r w:rsidRPr="004B3A19">
        <w:rPr>
          <w:rFonts w:ascii="Arial" w:hAnsi="Arial" w:cs="Arial"/>
          <w:sz w:val="22"/>
          <w:szCs w:val="22"/>
        </w:rPr>
        <w:t xml:space="preserve"> stanoveno jako plánované ukončení realizace projektu + 1 rok a 6 měsíců, </w:t>
      </w:r>
      <w:r w:rsidRPr="004B3A19">
        <w:rPr>
          <w:rFonts w:ascii="Arial" w:hAnsi="Arial" w:cs="Arial"/>
          <w:sz w:val="22"/>
          <w:szCs w:val="22"/>
        </w:rPr>
        <w:lastRenderedPageBreak/>
        <w:t>což jinak neovlivňuje povinnost příjemce hodnotu naplnit a vykázat za 12 měsíců prvního roku udržitelnosti.</w:t>
      </w:r>
    </w:p>
    <w:p w14:paraId="05A4294D" w14:textId="20CA46CF" w:rsidR="004B3A19" w:rsidRDefault="0018597B" w:rsidP="003274A4">
      <w:pPr>
        <w:spacing w:before="120" w:after="12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sidR="003352F8">
        <w:rPr>
          <w:rFonts w:ascii="Arial" w:hAnsi="Arial" w:cs="Arial"/>
          <w:sz w:val="22"/>
          <w:szCs w:val="22"/>
        </w:rPr>
        <w:t> </w:t>
      </w:r>
      <w:r w:rsidRPr="008E4F0B">
        <w:rPr>
          <w:rFonts w:ascii="Arial" w:hAnsi="Arial" w:cs="Arial"/>
          <w:sz w:val="22"/>
          <w:szCs w:val="22"/>
        </w:rPr>
        <w:t xml:space="preserve">výše uvedeným. </w:t>
      </w:r>
    </w:p>
    <w:p w14:paraId="3C216F72" w14:textId="2B58B854" w:rsidR="0018597B" w:rsidRDefault="0018597B" w:rsidP="003274A4">
      <w:pPr>
        <w:spacing w:before="120" w:after="120" w:line="276" w:lineRule="auto"/>
        <w:jc w:val="both"/>
        <w:rPr>
          <w:rFonts w:ascii="Arial" w:hAnsi="Arial" w:cs="Arial"/>
          <w:sz w:val="22"/>
          <w:szCs w:val="22"/>
        </w:rPr>
      </w:pPr>
      <w:r w:rsidRPr="008E4F0B">
        <w:rPr>
          <w:rFonts w:ascii="Arial" w:hAnsi="Arial" w:cs="Arial"/>
          <w:sz w:val="22"/>
          <w:szCs w:val="22"/>
        </w:rPr>
        <w:t>Po ukončení realizace projektu již příjemce orientační datum cílové hodnoty neupravuje.</w:t>
      </w:r>
    </w:p>
    <w:p w14:paraId="69BD2D92" w14:textId="4AB9F443" w:rsidR="0018597B" w:rsidRDefault="0018597B" w:rsidP="0018597B">
      <w:pPr>
        <w:spacing w:after="200" w:line="276" w:lineRule="auto"/>
        <w:jc w:val="both"/>
        <w:rPr>
          <w:rFonts w:ascii="Arial" w:hAnsi="Arial" w:cs="Arial"/>
          <w:sz w:val="22"/>
          <w:szCs w:val="22"/>
        </w:rPr>
      </w:pPr>
      <w:r w:rsidRPr="009A4CBD">
        <w:rPr>
          <w:rFonts w:ascii="Arial" w:hAnsi="Arial" w:cs="Arial"/>
          <w:b/>
          <w:bCs/>
          <w:sz w:val="22"/>
          <w:szCs w:val="22"/>
        </w:rPr>
        <w:t>Dosažená hodnota:</w:t>
      </w:r>
      <w:r w:rsidRPr="009A4CBD">
        <w:rPr>
          <w:rFonts w:ascii="Arial" w:hAnsi="Arial" w:cs="Arial"/>
          <w:sz w:val="22"/>
          <w:szCs w:val="22"/>
        </w:rPr>
        <w:t xml:space="preserve"> </w:t>
      </w:r>
      <w:r w:rsidRPr="004B3A19">
        <w:rPr>
          <w:rFonts w:ascii="Arial" w:hAnsi="Arial" w:cs="Arial"/>
          <w:sz w:val="22"/>
          <w:szCs w:val="22"/>
        </w:rPr>
        <w:t>Skutečný</w:t>
      </w:r>
      <w:r w:rsidR="004B3A19" w:rsidRPr="004B3A19">
        <w:rPr>
          <w:rFonts w:ascii="Arial" w:hAnsi="Arial" w:cs="Arial"/>
          <w:sz w:val="22"/>
          <w:szCs w:val="22"/>
        </w:rPr>
        <w:t xml:space="preserve"> počet osob, které podpořené zařízení</w:t>
      </w:r>
      <w:r w:rsidR="00151065">
        <w:rPr>
          <w:rFonts w:ascii="Arial" w:hAnsi="Arial" w:cs="Arial"/>
          <w:sz w:val="22"/>
          <w:szCs w:val="22"/>
        </w:rPr>
        <w:t xml:space="preserve"> alespoň</w:t>
      </w:r>
      <w:r w:rsidR="004B3A19" w:rsidRPr="004B3A19">
        <w:rPr>
          <w:rFonts w:ascii="Arial" w:hAnsi="Arial" w:cs="Arial"/>
          <w:sz w:val="22"/>
          <w:szCs w:val="22"/>
        </w:rPr>
        <w:t xml:space="preserve"> jednou obsloužilo během 1. roku udržitelnosti projektu. </w:t>
      </w:r>
      <w:r w:rsidRPr="004B3A19">
        <w:rPr>
          <w:rFonts w:ascii="Arial" w:hAnsi="Arial" w:cs="Arial"/>
          <w:sz w:val="22"/>
          <w:szCs w:val="22"/>
        </w:rPr>
        <w:t>Hodnotu</w:t>
      </w:r>
      <w:r w:rsidRPr="003E3EA1">
        <w:rPr>
          <w:rFonts w:ascii="Arial" w:hAnsi="Arial" w:cs="Arial"/>
          <w:sz w:val="22"/>
          <w:szCs w:val="22"/>
        </w:rPr>
        <w:t xml:space="preserve"> je nutné poprvé vykázat nejpozději k</w:t>
      </w:r>
      <w:r w:rsidR="003352F8">
        <w:rPr>
          <w:rFonts w:ascii="Arial" w:hAnsi="Arial" w:cs="Arial"/>
          <w:sz w:val="22"/>
          <w:szCs w:val="22"/>
        </w:rPr>
        <w:t> </w:t>
      </w:r>
      <w:r w:rsidRPr="003E3EA1">
        <w:rPr>
          <w:rFonts w:ascii="Arial" w:hAnsi="Arial" w:cs="Arial"/>
          <w:sz w:val="22"/>
          <w:szCs w:val="22"/>
        </w:rPr>
        <w:t xml:space="preserve">Rozhodnému datu, </w:t>
      </w:r>
      <w:r w:rsidRPr="004B3A19">
        <w:rPr>
          <w:rFonts w:ascii="Arial" w:hAnsi="Arial" w:cs="Arial"/>
          <w:sz w:val="22"/>
          <w:szCs w:val="22"/>
        </w:rPr>
        <w:t>tedy v 1. Zprávě o udržitelnosti projektu ke skutečnému datu, kdy skončil první rok udržitelnosti projektu.</w:t>
      </w:r>
    </w:p>
    <w:p w14:paraId="034BEE53" w14:textId="77777777" w:rsidR="004B3A19" w:rsidRDefault="004B3A19" w:rsidP="0018597B">
      <w:pPr>
        <w:spacing w:line="276" w:lineRule="auto"/>
        <w:jc w:val="both"/>
        <w:rPr>
          <w:rFonts w:ascii="Arial" w:hAnsi="Arial" w:cs="Arial"/>
          <w:sz w:val="22"/>
          <w:szCs w:val="22"/>
        </w:rPr>
      </w:pPr>
      <w:r w:rsidRPr="004B3A19">
        <w:rPr>
          <w:rFonts w:ascii="Arial" w:hAnsi="Arial" w:cs="Arial"/>
          <w:sz w:val="22"/>
          <w:szCs w:val="22"/>
        </w:rPr>
        <w:t>Dosažená hodnota vykazovaná po Rozhodném datu se již váže k udržování výstupu projektu a je vykazována ve Zprávách o udržitelnosti projektu za každý další rok udržitelnosti.</w:t>
      </w:r>
    </w:p>
    <w:p w14:paraId="644B587E" w14:textId="77777777" w:rsidR="004B3A19" w:rsidRDefault="004B3A19" w:rsidP="0018597B">
      <w:pPr>
        <w:spacing w:line="276" w:lineRule="auto"/>
        <w:jc w:val="both"/>
        <w:rPr>
          <w:rStyle w:val="Zdraznnintenzivn"/>
          <w:rFonts w:ascii="Arial" w:hAnsi="Arial" w:cs="Arial"/>
          <w:b/>
          <w:bCs/>
          <w:caps/>
          <w:color w:val="31849B" w:themeColor="accent5" w:themeShade="BF"/>
        </w:rPr>
      </w:pPr>
    </w:p>
    <w:p w14:paraId="64EC6516" w14:textId="13028F97" w:rsidR="0018597B" w:rsidRPr="000465C4" w:rsidRDefault="0018597B" w:rsidP="0018597B">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18597B" w:rsidRPr="009A4CBD" w14:paraId="6F0F0EFE" w14:textId="77777777" w:rsidTr="003274A4">
        <w:trPr>
          <w:trHeight w:val="1793"/>
        </w:trPr>
        <w:tc>
          <w:tcPr>
            <w:tcW w:w="4575" w:type="dxa"/>
            <w:shd w:val="clear" w:color="auto" w:fill="auto"/>
          </w:tcPr>
          <w:p w14:paraId="5BEED6E8" w14:textId="77777777" w:rsidR="0018597B" w:rsidRPr="003274A4" w:rsidRDefault="0018597B" w:rsidP="003274A4">
            <w:pPr>
              <w:spacing w:before="120" w:after="120" w:line="271" w:lineRule="auto"/>
              <w:ind w:left="52"/>
              <w:jc w:val="both"/>
              <w:rPr>
                <w:rFonts w:ascii="Arial" w:hAnsi="Arial" w:cs="Arial"/>
                <w:b/>
                <w:bCs/>
                <w:sz w:val="22"/>
                <w:szCs w:val="22"/>
              </w:rPr>
            </w:pPr>
            <w:r w:rsidRPr="003274A4">
              <w:rPr>
                <w:rFonts w:ascii="Arial" w:hAnsi="Arial" w:cs="Arial"/>
                <w:b/>
                <w:bCs/>
                <w:sz w:val="22"/>
                <w:szCs w:val="22"/>
              </w:rPr>
              <w:t>V Závěrečné zprávě o realizaci projektu:</w:t>
            </w:r>
          </w:p>
          <w:p w14:paraId="74B75AEB" w14:textId="77777777" w:rsidR="0018597B" w:rsidRPr="003274A4" w:rsidRDefault="0018597B" w:rsidP="003274A4">
            <w:pPr>
              <w:pStyle w:val="Odstavecseseznamem"/>
              <w:numPr>
                <w:ilvl w:val="0"/>
                <w:numId w:val="36"/>
              </w:numPr>
              <w:spacing w:before="120" w:after="120" w:line="271" w:lineRule="auto"/>
              <w:jc w:val="both"/>
              <w:rPr>
                <w:rFonts w:ascii="Arial" w:hAnsi="Arial" w:cs="Arial"/>
                <w:sz w:val="22"/>
                <w:szCs w:val="22"/>
              </w:rPr>
            </w:pPr>
            <w:r w:rsidRPr="003274A4">
              <w:rPr>
                <w:rFonts w:ascii="Arial" w:hAnsi="Arial" w:cs="Arial"/>
                <w:sz w:val="22"/>
                <w:szCs w:val="22"/>
              </w:rPr>
              <w:t xml:space="preserve">Fotodokumentace </w:t>
            </w:r>
          </w:p>
          <w:p w14:paraId="68009379" w14:textId="32595AB5" w:rsidR="00E42AA6" w:rsidRPr="003274A4" w:rsidRDefault="0018597B" w:rsidP="003274A4">
            <w:pPr>
              <w:pStyle w:val="Odstavecseseznamem"/>
              <w:numPr>
                <w:ilvl w:val="0"/>
                <w:numId w:val="36"/>
              </w:numPr>
              <w:spacing w:before="120" w:after="120" w:line="271" w:lineRule="auto"/>
              <w:jc w:val="both"/>
              <w:rPr>
                <w:rFonts w:ascii="Arial" w:hAnsi="Arial" w:cs="Arial"/>
                <w:sz w:val="22"/>
                <w:szCs w:val="22"/>
              </w:rPr>
            </w:pPr>
            <w:r w:rsidRPr="003274A4">
              <w:rPr>
                <w:rFonts w:ascii="Arial" w:hAnsi="Arial" w:cs="Arial"/>
                <w:sz w:val="22"/>
                <w:szCs w:val="22"/>
              </w:rPr>
              <w:t>Doklad o předání a převzetí díla</w:t>
            </w:r>
          </w:p>
          <w:p w14:paraId="1DF65AE3" w14:textId="617C402E" w:rsidR="0018597B" w:rsidRPr="003274A4" w:rsidRDefault="0018597B" w:rsidP="003274A4">
            <w:pPr>
              <w:pStyle w:val="Odstavecseseznamem"/>
              <w:numPr>
                <w:ilvl w:val="0"/>
                <w:numId w:val="36"/>
              </w:numPr>
              <w:spacing w:before="120" w:after="120" w:line="271" w:lineRule="auto"/>
              <w:jc w:val="both"/>
              <w:rPr>
                <w:rFonts w:ascii="Arial" w:hAnsi="Arial" w:cs="Arial"/>
                <w:sz w:val="22"/>
                <w:szCs w:val="22"/>
              </w:rPr>
            </w:pPr>
            <w:r w:rsidRPr="003274A4">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shd w:val="clear" w:color="auto" w:fill="auto"/>
          </w:tcPr>
          <w:p w14:paraId="0F09739C" w14:textId="77777777" w:rsidR="0018597B" w:rsidRPr="003274A4" w:rsidRDefault="0018597B" w:rsidP="003274A4">
            <w:pPr>
              <w:spacing w:before="120" w:after="120" w:line="271" w:lineRule="auto"/>
              <w:jc w:val="both"/>
              <w:rPr>
                <w:rFonts w:ascii="Arial" w:hAnsi="Arial" w:cs="Arial"/>
                <w:b/>
                <w:bCs/>
                <w:sz w:val="22"/>
                <w:szCs w:val="22"/>
              </w:rPr>
            </w:pPr>
            <w:r w:rsidRPr="003274A4">
              <w:rPr>
                <w:rFonts w:ascii="Arial" w:hAnsi="Arial" w:cs="Arial"/>
                <w:b/>
                <w:bCs/>
                <w:sz w:val="22"/>
                <w:szCs w:val="22"/>
              </w:rPr>
              <w:t>V 1. Zprávě o udržitelnosti projektu:</w:t>
            </w:r>
            <w:r w:rsidRPr="003274A4">
              <w:rPr>
                <w:rFonts w:ascii="Arial" w:hAnsi="Arial" w:cs="Arial"/>
                <w:b/>
                <w:bCs/>
                <w:sz w:val="28"/>
                <w:szCs w:val="28"/>
              </w:rPr>
              <w:t xml:space="preserve"> </w:t>
            </w:r>
          </w:p>
          <w:p w14:paraId="3C1A0F87" w14:textId="1D1CE171" w:rsidR="0018597B" w:rsidRPr="003274A4" w:rsidRDefault="00151065" w:rsidP="003274A4">
            <w:pPr>
              <w:pStyle w:val="Odstavecseseznamem"/>
              <w:numPr>
                <w:ilvl w:val="0"/>
                <w:numId w:val="36"/>
              </w:numPr>
              <w:spacing w:before="120" w:after="120" w:line="271" w:lineRule="auto"/>
              <w:jc w:val="both"/>
              <w:rPr>
                <w:rFonts w:ascii="Arial" w:hAnsi="Arial" w:cs="Arial"/>
                <w:b/>
                <w:bCs/>
                <w:sz w:val="22"/>
                <w:szCs w:val="22"/>
              </w:rPr>
            </w:pPr>
            <w:r w:rsidRPr="003274A4">
              <w:rPr>
                <w:rFonts w:ascii="Arial" w:hAnsi="Arial" w:cs="Arial"/>
                <w:sz w:val="22"/>
                <w:szCs w:val="22"/>
              </w:rPr>
              <w:t>Kolaudační souhlas nebo kolaudační rozhodnutí, v případě že nedošlo k doložení při Závěrečné zprávě o realizaci projektu</w:t>
            </w:r>
          </w:p>
          <w:p w14:paraId="170FF356" w14:textId="35D16A84" w:rsidR="00FB77E7" w:rsidRPr="003274A4" w:rsidRDefault="000E4EF5" w:rsidP="003274A4">
            <w:pPr>
              <w:pStyle w:val="Odstavecseseznamem"/>
              <w:numPr>
                <w:ilvl w:val="0"/>
                <w:numId w:val="36"/>
              </w:numPr>
              <w:spacing w:before="120" w:after="120" w:line="271" w:lineRule="auto"/>
              <w:jc w:val="both"/>
              <w:rPr>
                <w:rFonts w:ascii="Arial" w:hAnsi="Arial" w:cs="Arial"/>
                <w:b/>
                <w:bCs/>
                <w:sz w:val="22"/>
                <w:szCs w:val="22"/>
              </w:rPr>
            </w:pPr>
            <w:r w:rsidRPr="003274A4">
              <w:rPr>
                <w:rFonts w:ascii="Arial" w:hAnsi="Arial" w:cs="Arial"/>
                <w:sz w:val="22"/>
                <w:szCs w:val="22"/>
              </w:rPr>
              <w:t>Dokumentace/interní evidence, ze které bude vyplývat skutečný počet osob</w:t>
            </w:r>
            <w:r w:rsidRPr="003274A4">
              <w:rPr>
                <w:rFonts w:ascii="Arial" w:hAnsi="Arial" w:cs="Arial"/>
                <w:b/>
                <w:bCs/>
                <w:sz w:val="22"/>
                <w:szCs w:val="22"/>
              </w:rPr>
              <w:t xml:space="preserve"> </w:t>
            </w:r>
            <w:r w:rsidRPr="003274A4">
              <w:rPr>
                <w:rFonts w:ascii="Arial" w:hAnsi="Arial" w:cs="Arial"/>
                <w:sz w:val="22"/>
                <w:szCs w:val="22"/>
              </w:rPr>
              <w:t>obsluhovaných alespoň jednou novým nebo modernizovaným zařízením sociální péče v průběhu roku po ukončení intervence</w:t>
            </w:r>
          </w:p>
          <w:p w14:paraId="3204AC96" w14:textId="0749127B" w:rsidR="00BC263F" w:rsidRPr="003274A4" w:rsidRDefault="00BC263F" w:rsidP="003274A4">
            <w:pPr>
              <w:spacing w:before="120" w:after="120" w:line="271" w:lineRule="auto"/>
              <w:jc w:val="both"/>
              <w:rPr>
                <w:rFonts w:ascii="Arial" w:hAnsi="Arial" w:cs="Arial"/>
                <w:b/>
                <w:bCs/>
                <w:sz w:val="22"/>
                <w:szCs w:val="22"/>
              </w:rPr>
            </w:pPr>
            <w:r w:rsidRPr="003274A4">
              <w:rPr>
                <w:rFonts w:ascii="Arial" w:hAnsi="Arial" w:cs="Arial"/>
                <w:b/>
                <w:bCs/>
                <w:sz w:val="22"/>
                <w:szCs w:val="22"/>
              </w:rPr>
              <w:t>V</w:t>
            </w:r>
            <w:r w:rsidR="000E4EF5" w:rsidRPr="003274A4">
              <w:rPr>
                <w:rFonts w:ascii="Arial" w:hAnsi="Arial" w:cs="Arial"/>
                <w:b/>
                <w:bCs/>
                <w:sz w:val="22"/>
                <w:szCs w:val="22"/>
              </w:rPr>
              <w:t xml:space="preserve"> dalších</w:t>
            </w:r>
            <w:r w:rsidRPr="003274A4">
              <w:rPr>
                <w:rFonts w:ascii="Arial" w:hAnsi="Arial" w:cs="Arial"/>
                <w:b/>
                <w:bCs/>
                <w:sz w:val="22"/>
                <w:szCs w:val="22"/>
              </w:rPr>
              <w:t xml:space="preserve"> Zprávách o udržitelnosti projektu: </w:t>
            </w:r>
          </w:p>
          <w:p w14:paraId="6C14A51C" w14:textId="5D630F6A" w:rsidR="00A92498" w:rsidRPr="003274A4" w:rsidRDefault="00BC263F" w:rsidP="003274A4">
            <w:pPr>
              <w:pStyle w:val="Odstavecseseznamem"/>
              <w:numPr>
                <w:ilvl w:val="0"/>
                <w:numId w:val="48"/>
              </w:numPr>
              <w:spacing w:before="120" w:after="120" w:line="271" w:lineRule="auto"/>
              <w:ind w:hanging="271"/>
              <w:jc w:val="both"/>
              <w:rPr>
                <w:rFonts w:ascii="Arial" w:hAnsi="Arial" w:cs="Arial"/>
                <w:b/>
                <w:bCs/>
                <w:sz w:val="22"/>
                <w:szCs w:val="22"/>
              </w:rPr>
            </w:pPr>
            <w:r w:rsidRPr="003274A4">
              <w:rPr>
                <w:rFonts w:ascii="Arial" w:hAnsi="Arial" w:cs="Arial"/>
                <w:sz w:val="22"/>
                <w:szCs w:val="22"/>
              </w:rPr>
              <w:t>Dokumentace/interní evidence, ze které bude vyplývat skutečný počet osob</w:t>
            </w:r>
            <w:r w:rsidR="005273CA" w:rsidRPr="003274A4">
              <w:rPr>
                <w:rFonts w:ascii="Arial" w:hAnsi="Arial" w:cs="Arial"/>
                <w:sz w:val="22"/>
                <w:szCs w:val="22"/>
              </w:rPr>
              <w:t xml:space="preserve"> </w:t>
            </w:r>
            <w:r w:rsidR="00172074" w:rsidRPr="003274A4">
              <w:rPr>
                <w:rFonts w:ascii="Arial" w:hAnsi="Arial" w:cs="Arial"/>
                <w:sz w:val="22"/>
                <w:szCs w:val="22"/>
              </w:rPr>
              <w:t>obsluhovaných alespoň jednou novým nebo modernizovaným zařízením sociální péče v průběhu roku po ukončení intervence</w:t>
            </w:r>
          </w:p>
        </w:tc>
      </w:tr>
    </w:tbl>
    <w:p w14:paraId="2FBF0ECD" w14:textId="28608D2D" w:rsidR="0018597B" w:rsidRPr="009A4CBD" w:rsidRDefault="0018597B" w:rsidP="0018597B">
      <w:pPr>
        <w:spacing w:before="120" w:after="200" w:line="276" w:lineRule="auto"/>
        <w:jc w:val="both"/>
        <w:rPr>
          <w:rFonts w:ascii="Arial" w:hAnsi="Arial" w:cs="Arial"/>
          <w:sz w:val="22"/>
          <w:szCs w:val="22"/>
        </w:rPr>
      </w:pPr>
      <w:r w:rsidRPr="009A4CBD">
        <w:rPr>
          <w:rFonts w:ascii="Arial" w:hAnsi="Arial" w:cs="Arial"/>
          <w:sz w:val="22"/>
          <w:szCs w:val="22"/>
        </w:rPr>
        <w:t xml:space="preserve">Je nutné doložit </w:t>
      </w:r>
      <w:r w:rsidRPr="009B15A5">
        <w:rPr>
          <w:rFonts w:ascii="Arial" w:hAnsi="Arial" w:cs="Arial"/>
          <w:sz w:val="22"/>
          <w:szCs w:val="22"/>
        </w:rPr>
        <w:t>relevantní</w:t>
      </w:r>
      <w:r>
        <w:rPr>
          <w:rFonts w:ascii="Arial" w:hAnsi="Arial" w:cs="Arial"/>
          <w:sz w:val="22"/>
          <w:szCs w:val="22"/>
        </w:rPr>
        <w:t xml:space="preserve"> </w:t>
      </w:r>
      <w:r w:rsidRPr="009A4CBD">
        <w:rPr>
          <w:rFonts w:ascii="Arial" w:hAnsi="Arial" w:cs="Arial"/>
          <w:sz w:val="22"/>
          <w:szCs w:val="22"/>
        </w:rPr>
        <w:t>uvedené dokumenty.</w:t>
      </w:r>
      <w:r>
        <w:rPr>
          <w:rFonts w:ascii="Arial" w:hAnsi="Arial" w:cs="Arial"/>
          <w:sz w:val="22"/>
          <w:szCs w:val="22"/>
        </w:rPr>
        <w:t xml:space="preserve"> </w:t>
      </w:r>
      <w:r w:rsidR="004B3A19" w:rsidRPr="004B3A19">
        <w:rPr>
          <w:rFonts w:ascii="Arial" w:hAnsi="Arial" w:cs="Arial"/>
          <w:sz w:val="22"/>
          <w:szCs w:val="22"/>
        </w:rPr>
        <w:t>Počínaje 2. Zprávou o udržitelnosti projektu bude vykázána aktualizovaná hodnota, a to k datu ukončení daného roku udržitelnosti. Zároveň budou opětovně dodány materiály pro její ověření.</w:t>
      </w:r>
    </w:p>
    <w:p w14:paraId="4FA790EF" w14:textId="77777777" w:rsidR="0018597B" w:rsidRPr="000465C4" w:rsidRDefault="0018597B" w:rsidP="0018597B">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 xml:space="preserve">TOLERANCE DOSAŽENÍ a udržení indikátoru </w:t>
      </w:r>
    </w:p>
    <w:p w14:paraId="6A6FFF15" w14:textId="1B14C0B4" w:rsidR="0018597B" w:rsidRDefault="0018597B" w:rsidP="0018597B">
      <w:pPr>
        <w:spacing w:after="200" w:line="276" w:lineRule="auto"/>
        <w:jc w:val="both"/>
        <w:rPr>
          <w:rFonts w:ascii="Arial" w:hAnsi="Arial" w:cs="Arial"/>
          <w:sz w:val="22"/>
          <w:szCs w:val="22"/>
          <w:highlight w:val="yellow"/>
        </w:rPr>
      </w:pPr>
      <w:r w:rsidRPr="004B3A19">
        <w:rPr>
          <w:rFonts w:ascii="Arial" w:hAnsi="Arial" w:cs="Arial"/>
          <w:sz w:val="22"/>
          <w:szCs w:val="22"/>
        </w:rPr>
        <w:t xml:space="preserve">Toleranční pásmo </w:t>
      </w:r>
      <w:r w:rsidRPr="00FD5CAB">
        <w:rPr>
          <w:rFonts w:ascii="Arial" w:hAnsi="Arial" w:cs="Arial"/>
          <w:sz w:val="22"/>
          <w:szCs w:val="22"/>
        </w:rPr>
        <w:t xml:space="preserve">činí minus </w:t>
      </w:r>
      <w:r w:rsidR="00025EC3" w:rsidRPr="00FD5CAB">
        <w:rPr>
          <w:rFonts w:ascii="Arial" w:hAnsi="Arial" w:cs="Arial"/>
          <w:sz w:val="22"/>
          <w:szCs w:val="22"/>
        </w:rPr>
        <w:t>30</w:t>
      </w:r>
      <w:r w:rsidRPr="00FD5CAB">
        <w:rPr>
          <w:rFonts w:ascii="Arial" w:hAnsi="Arial" w:cs="Arial"/>
          <w:sz w:val="22"/>
          <w:szCs w:val="22"/>
        </w:rPr>
        <w:t xml:space="preserve"> % cílové </w:t>
      </w:r>
      <w:r w:rsidRPr="004B3A19">
        <w:rPr>
          <w:rFonts w:ascii="Arial" w:hAnsi="Arial" w:cs="Arial"/>
          <w:sz w:val="22"/>
          <w:szCs w:val="22"/>
        </w:rPr>
        <w:t>hodnoty indikátoru</w:t>
      </w:r>
      <w:r w:rsidR="004B3A19" w:rsidRPr="004B3A19">
        <w:rPr>
          <w:rFonts w:ascii="Arial" w:hAnsi="Arial" w:cs="Arial"/>
          <w:sz w:val="22"/>
          <w:szCs w:val="22"/>
        </w:rPr>
        <w:t xml:space="preserve">. </w:t>
      </w:r>
      <w:r w:rsidRPr="004B3A19">
        <w:rPr>
          <w:rFonts w:ascii="Arial" w:hAnsi="Arial" w:cs="Arial"/>
          <w:sz w:val="22"/>
          <w:szCs w:val="22"/>
        </w:rPr>
        <w:t>Toto pásmo je pevně navázáno na cílovou hodnotu naplňovanou k Rozhodnému datu, ale platí i pro období</w:t>
      </w:r>
      <w:r w:rsidRPr="008E4F0B">
        <w:rPr>
          <w:rFonts w:ascii="Arial" w:hAnsi="Arial" w:cs="Arial"/>
          <w:sz w:val="22"/>
          <w:szCs w:val="22"/>
        </w:rPr>
        <w:t xml:space="preserve"> </w:t>
      </w:r>
      <w:r>
        <w:rPr>
          <w:rFonts w:ascii="Arial" w:hAnsi="Arial" w:cs="Arial"/>
          <w:sz w:val="22"/>
          <w:szCs w:val="22"/>
        </w:rPr>
        <w:t xml:space="preserve">udržitelnosti </w:t>
      </w:r>
      <w:r w:rsidRPr="008E4F0B">
        <w:rPr>
          <w:rFonts w:ascii="Arial" w:hAnsi="Arial" w:cs="Arial"/>
          <w:sz w:val="22"/>
          <w:szCs w:val="22"/>
        </w:rPr>
        <w:t>po Rozhodném datu</w:t>
      </w:r>
      <w:r>
        <w:rPr>
          <w:rStyle w:val="Znakapoznpodarou"/>
          <w:rFonts w:ascii="Arial" w:hAnsi="Arial" w:cs="Arial"/>
          <w:sz w:val="22"/>
          <w:szCs w:val="22"/>
        </w:rPr>
        <w:footnoteReference w:id="9"/>
      </w:r>
      <w:r w:rsidRPr="00AF3D0A">
        <w:rPr>
          <w:rFonts w:ascii="Arial" w:hAnsi="Arial" w:cs="Arial"/>
          <w:sz w:val="22"/>
          <w:szCs w:val="22"/>
        </w:rPr>
        <w:t>. Překročení stanovené cílové hodnoty není sankcionováno.</w:t>
      </w:r>
    </w:p>
    <w:p w14:paraId="6599B5CC" w14:textId="77777777" w:rsidR="0018597B" w:rsidRDefault="0018597B" w:rsidP="0018597B">
      <w:pPr>
        <w:spacing w:after="200" w:line="276" w:lineRule="auto"/>
        <w:jc w:val="both"/>
        <w:rPr>
          <w:rFonts w:ascii="Arial" w:hAnsi="Arial" w:cs="Arial"/>
          <w:sz w:val="22"/>
          <w:szCs w:val="22"/>
        </w:rPr>
      </w:pPr>
      <w:r w:rsidRPr="00AF3D0A">
        <w:rPr>
          <w:rFonts w:ascii="Arial" w:hAnsi="Arial" w:cs="Arial"/>
          <w:sz w:val="22"/>
          <w:szCs w:val="22"/>
        </w:rPr>
        <w:lastRenderedPageBreak/>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w:t>
      </w:r>
      <w:r>
        <w:rPr>
          <w:rFonts w:ascii="Arial" w:hAnsi="Arial" w:cs="Arial"/>
          <w:sz w:val="22"/>
          <w:szCs w:val="22"/>
        </w:rPr>
        <w:t>s</w:t>
      </w:r>
      <w:r w:rsidRPr="00AF3D0A">
        <w:rPr>
          <w:rFonts w:ascii="Arial" w:hAnsi="Arial" w:cs="Arial"/>
          <w:sz w:val="22"/>
          <w:szCs w:val="22"/>
        </w:rPr>
        <w:t xml:space="preserve">nížením přímých výdajů projektu vážících se na daný výstup. V takovém případě bude možné tuto žádost </w:t>
      </w:r>
      <w:r>
        <w:rPr>
          <w:rFonts w:ascii="Arial" w:hAnsi="Arial" w:cs="Arial"/>
          <w:sz w:val="22"/>
          <w:szCs w:val="22"/>
        </w:rPr>
        <w:t>posoudit</w:t>
      </w:r>
      <w:r w:rsidRPr="00AF3D0A">
        <w:rPr>
          <w:rFonts w:ascii="Arial" w:hAnsi="Arial" w:cs="Arial"/>
          <w:sz w:val="22"/>
          <w:szCs w:val="22"/>
        </w:rPr>
        <w:t>, a rozhodnout, zda lze cílovou hodnotu snížit</w:t>
      </w:r>
      <w:r>
        <w:rPr>
          <w:rFonts w:ascii="Arial" w:hAnsi="Arial" w:cs="Arial"/>
          <w:sz w:val="22"/>
          <w:szCs w:val="22"/>
        </w:rPr>
        <w:t xml:space="preserve">. </w:t>
      </w:r>
    </w:p>
    <w:p w14:paraId="54E045E6" w14:textId="4C15B87E" w:rsidR="0018597B" w:rsidRDefault="0018597B" w:rsidP="0018597B">
      <w:pPr>
        <w:spacing w:after="200" w:line="276" w:lineRule="auto"/>
        <w:jc w:val="both"/>
        <w:rPr>
          <w:rFonts w:ascii="Arial" w:hAnsi="Arial" w:cs="Arial"/>
          <w:sz w:val="22"/>
          <w:szCs w:val="22"/>
        </w:rPr>
      </w:pPr>
      <w:r>
        <w:rPr>
          <w:rFonts w:ascii="Arial" w:hAnsi="Arial" w:cs="Arial"/>
          <w:sz w:val="22"/>
          <w:szCs w:val="22"/>
        </w:rPr>
        <w:t xml:space="preserve">Když tak příjemce neučiní, zůstává cílová hodnota platná v nezměněné výši, a pokud bude vykázaná dosažená hodnota k Rozhodnému datu pod stanovenou tolerancí, bude postupováno dle </w:t>
      </w:r>
      <w:r w:rsidRPr="004B3A19">
        <w:rPr>
          <w:rFonts w:ascii="Arial" w:hAnsi="Arial" w:cs="Arial"/>
          <w:sz w:val="22"/>
          <w:szCs w:val="22"/>
        </w:rPr>
        <w:t xml:space="preserve">Podmínek Právního aktu / Rozhodnutí, které </w:t>
      </w:r>
      <w:r>
        <w:rPr>
          <w:rFonts w:ascii="Arial" w:hAnsi="Arial" w:cs="Arial"/>
          <w:sz w:val="22"/>
          <w:szCs w:val="22"/>
        </w:rPr>
        <w:t>stanoví k</w:t>
      </w:r>
      <w:r w:rsidRPr="00FE118B">
        <w:rPr>
          <w:rFonts w:ascii="Arial" w:hAnsi="Arial" w:cs="Arial"/>
          <w:sz w:val="22"/>
          <w:szCs w:val="22"/>
        </w:rPr>
        <w:t>onkrétní výš</w:t>
      </w:r>
      <w:r>
        <w:rPr>
          <w:rFonts w:ascii="Arial" w:hAnsi="Arial" w:cs="Arial"/>
          <w:sz w:val="22"/>
          <w:szCs w:val="22"/>
        </w:rPr>
        <w:t>i</w:t>
      </w:r>
      <w:r w:rsidRPr="00FE118B">
        <w:rPr>
          <w:rFonts w:ascii="Arial" w:hAnsi="Arial" w:cs="Arial"/>
          <w:sz w:val="22"/>
          <w:szCs w:val="22"/>
        </w:rPr>
        <w:t xml:space="preserve"> a typ sankce aplikované při nenaplnění cílové hodnoty indikátoru</w:t>
      </w:r>
      <w:r>
        <w:rPr>
          <w:rFonts w:ascii="Arial" w:hAnsi="Arial" w:cs="Arial"/>
          <w:sz w:val="22"/>
          <w:szCs w:val="22"/>
        </w:rPr>
        <w:t>.</w:t>
      </w:r>
    </w:p>
    <w:p w14:paraId="3AE66CE2" w14:textId="388988C3" w:rsidR="0018597B" w:rsidRDefault="0018597B" w:rsidP="0018597B">
      <w:pPr>
        <w:spacing w:after="200" w:line="276" w:lineRule="auto"/>
        <w:jc w:val="both"/>
        <w:rPr>
          <w:rFonts w:ascii="Arial" w:hAnsi="Arial" w:cs="Arial"/>
          <w:sz w:val="22"/>
          <w:szCs w:val="22"/>
        </w:rPr>
      </w:pPr>
      <w:r w:rsidRPr="00AF3D0A">
        <w:rPr>
          <w:rFonts w:ascii="Arial" w:hAnsi="Arial" w:cs="Arial"/>
          <w:sz w:val="22"/>
          <w:szCs w:val="22"/>
        </w:rPr>
        <w:t xml:space="preserve">V </w:t>
      </w:r>
      <w:r w:rsidRPr="004B3A19">
        <w:rPr>
          <w:rFonts w:ascii="Arial" w:hAnsi="Arial" w:cs="Arial"/>
          <w:sz w:val="22"/>
          <w:szCs w:val="22"/>
        </w:rPr>
        <w:t xml:space="preserve">době udržitelnosti již </w:t>
      </w:r>
      <w:r w:rsidRPr="004B3A19">
        <w:rPr>
          <w:rFonts w:ascii="Arial" w:hAnsi="Arial" w:cs="Arial"/>
          <w:b/>
          <w:bCs/>
          <w:sz w:val="22"/>
          <w:szCs w:val="22"/>
          <w:u w:val="single"/>
        </w:rPr>
        <w:t>nelze cílovou hodnotu upravit</w:t>
      </w:r>
      <w:r w:rsidRPr="004B3A19">
        <w:rPr>
          <w:rFonts w:ascii="Arial" w:hAnsi="Arial" w:cs="Arial"/>
          <w:sz w:val="22"/>
          <w:szCs w:val="22"/>
        </w:rPr>
        <w:t xml:space="preserve"> a zůstává zafixovaná ve výši platné k datu skutečného ukončení realizace projektu. Pokud bude (po Rozhodném datu) v období udržitelnosti vykázaná dosažená hodnota pod stanovenou tolerancí, bude postupováno dle Podmínek Právního aktu / Rozhodnutí, které stanoví konkrétní výš</w:t>
      </w:r>
      <w:r w:rsidR="00AD6B07">
        <w:rPr>
          <w:rFonts w:ascii="Arial" w:hAnsi="Arial" w:cs="Arial"/>
          <w:sz w:val="22"/>
          <w:szCs w:val="22"/>
        </w:rPr>
        <w:t>i</w:t>
      </w:r>
      <w:r w:rsidRPr="004B3A19">
        <w:rPr>
          <w:rFonts w:ascii="Arial" w:hAnsi="Arial" w:cs="Arial"/>
          <w:sz w:val="22"/>
          <w:szCs w:val="22"/>
        </w:rPr>
        <w:t xml:space="preserve"> a typ sankce aplikované při neudržení cílové hodnoty indikátoru a to poměrově, vztaženo k délce období udržitelnosti, době neplnění a výši neplnění.</w:t>
      </w:r>
    </w:p>
    <w:p w14:paraId="3722E136" w14:textId="77777777" w:rsidR="00906B27" w:rsidRDefault="00906B27" w:rsidP="008C7931">
      <w:pPr>
        <w:spacing w:after="200" w:line="276" w:lineRule="auto"/>
        <w:rPr>
          <w:rStyle w:val="Zdraznnintenzivn"/>
          <w:rFonts w:ascii="Arial" w:eastAsiaTheme="minorHAnsi" w:hAnsi="Arial" w:cs="Arial"/>
          <w:caps/>
          <w:color w:val="31849B" w:themeColor="accent5" w:themeShade="BF"/>
          <w:highlight w:val="yellow"/>
          <w:lang w:eastAsia="en-US"/>
        </w:rPr>
      </w:pPr>
    </w:p>
    <w:p w14:paraId="46732BA0" w14:textId="0C65C428" w:rsidR="00906B27" w:rsidRPr="000465C4" w:rsidRDefault="00906B27" w:rsidP="008C7931">
      <w:pPr>
        <w:spacing w:after="200" w:line="276" w:lineRule="auto"/>
        <w:rPr>
          <w:rStyle w:val="Zdraznnintenzivn"/>
          <w:rFonts w:ascii="Arial" w:eastAsiaTheme="minorHAnsi" w:hAnsi="Arial" w:cs="Arial"/>
          <w:caps/>
          <w:color w:val="31849B" w:themeColor="accent5" w:themeShade="BF"/>
          <w:highlight w:val="yellow"/>
          <w:lang w:eastAsia="en-US"/>
        </w:rPr>
        <w:sectPr w:rsidR="00906B27" w:rsidRPr="000465C4" w:rsidSect="00AD6B07">
          <w:headerReference w:type="default" r:id="rId14"/>
          <w:footerReference w:type="default" r:id="rId15"/>
          <w:pgSz w:w="11906" w:h="16838"/>
          <w:pgMar w:top="1417" w:right="1417" w:bottom="1417" w:left="1417" w:header="708" w:footer="708" w:gutter="0"/>
          <w:cols w:space="708"/>
          <w:titlePg/>
          <w:docGrid w:linePitch="360"/>
        </w:sectPr>
      </w:pPr>
    </w:p>
    <w:p w14:paraId="2ADABDD5" w14:textId="45E110D2" w:rsidR="00182442" w:rsidRPr="00F73C1B" w:rsidRDefault="0084772A" w:rsidP="0083531C">
      <w:pPr>
        <w:spacing w:after="240" w:line="276" w:lineRule="auto"/>
        <w:jc w:val="both"/>
        <w:rPr>
          <w:rStyle w:val="Zdraznnintenzivn"/>
          <w:rFonts w:ascii="Arial" w:eastAsiaTheme="minorHAnsi" w:hAnsi="Arial" w:cs="Arial"/>
          <w:caps/>
          <w:color w:val="31849B" w:themeColor="accent5" w:themeShade="BF"/>
          <w:lang w:eastAsia="en-US"/>
        </w:rPr>
      </w:pPr>
      <w:r w:rsidRPr="00F73C1B">
        <w:rPr>
          <w:rStyle w:val="Zdraznnintenzivn"/>
          <w:rFonts w:ascii="Arial" w:eastAsiaTheme="minorHAnsi" w:hAnsi="Arial" w:cs="Arial"/>
          <w:b/>
          <w:bCs/>
          <w:caps/>
          <w:color w:val="31849B" w:themeColor="accent5" w:themeShade="BF"/>
          <w:lang w:eastAsia="en-US"/>
        </w:rPr>
        <w:lastRenderedPageBreak/>
        <w:t>Vazební matice</w:t>
      </w:r>
      <w:r w:rsidRPr="00F73C1B">
        <w:rPr>
          <w:rStyle w:val="Zdraznnintenzivn"/>
          <w:rFonts w:ascii="Arial" w:eastAsiaTheme="minorHAnsi" w:hAnsi="Arial" w:cs="Arial"/>
          <w:caps/>
          <w:color w:val="31849B" w:themeColor="accent5" w:themeShade="BF"/>
          <w:lang w:eastAsia="en-US"/>
        </w:rPr>
        <w:t xml:space="preserve"> (nový list, volitelně</w:t>
      </w:r>
      <w:r w:rsidR="0083531C" w:rsidRPr="00F73C1B">
        <w:rPr>
          <w:rStyle w:val="Zdraznnintenzivn"/>
          <w:rFonts w:ascii="Arial" w:eastAsiaTheme="minorHAnsi" w:hAnsi="Arial" w:cs="Arial"/>
          <w:caps/>
          <w:color w:val="31849B" w:themeColor="accent5" w:themeShade="BF"/>
          <w:lang w:eastAsia="en-US"/>
        </w:rPr>
        <w:t>, pod poslední ML v příloze</w:t>
      </w:r>
      <w:r w:rsidRPr="00F73C1B">
        <w:rPr>
          <w:rStyle w:val="Zdraznnintenzivn"/>
          <w:rFonts w:ascii="Arial" w:eastAsiaTheme="minorHAnsi" w:hAnsi="Arial" w:cs="Arial"/>
          <w:caps/>
          <w:color w:val="31849B" w:themeColor="accent5" w:themeShade="BF"/>
          <w:lang w:eastAsia="en-US"/>
        </w:rPr>
        <w:t>):</w:t>
      </w:r>
    </w:p>
    <w:tbl>
      <w:tblPr>
        <w:tblW w:w="13917" w:type="dxa"/>
        <w:tblInd w:w="70" w:type="dxa"/>
        <w:tblCellMar>
          <w:left w:w="70" w:type="dxa"/>
          <w:right w:w="70" w:type="dxa"/>
        </w:tblCellMar>
        <w:tblLook w:val="04A0" w:firstRow="1" w:lastRow="0" w:firstColumn="1" w:lastColumn="0" w:noHBand="0" w:noVBand="1"/>
      </w:tblPr>
      <w:tblGrid>
        <w:gridCol w:w="1768"/>
        <w:gridCol w:w="1701"/>
        <w:gridCol w:w="4820"/>
        <w:gridCol w:w="4109"/>
        <w:gridCol w:w="1519"/>
      </w:tblGrid>
      <w:tr w:rsidR="003338E8" w:rsidRPr="003338E8" w14:paraId="23D10E6B" w14:textId="77777777" w:rsidTr="003338E8">
        <w:trPr>
          <w:trHeight w:val="721"/>
          <w:tblHeader/>
        </w:trPr>
        <w:tc>
          <w:tcPr>
            <w:tcW w:w="1768" w:type="dxa"/>
            <w:tcBorders>
              <w:top w:val="single" w:sz="8" w:space="0" w:color="auto"/>
              <w:left w:val="single" w:sz="4" w:space="0" w:color="auto"/>
              <w:bottom w:val="nil"/>
              <w:right w:val="single" w:sz="4" w:space="0" w:color="auto"/>
            </w:tcBorders>
            <w:shd w:val="clear" w:color="auto" w:fill="9CC2E5"/>
            <w:vAlign w:val="center"/>
            <w:hideMark/>
          </w:tcPr>
          <w:p w14:paraId="10C838D7" w14:textId="77777777" w:rsidR="003338E8" w:rsidRPr="003338E8" w:rsidRDefault="003338E8" w:rsidP="003338E8">
            <w:pPr>
              <w:spacing w:line="276" w:lineRule="auto"/>
              <w:jc w:val="center"/>
              <w:rPr>
                <w:rFonts w:ascii="Arial" w:hAnsi="Arial" w:cs="Arial"/>
                <w:b/>
                <w:bCs/>
                <w:color w:val="000000"/>
                <w:sz w:val="20"/>
                <w:szCs w:val="20"/>
                <w:lang w:eastAsia="en-US"/>
              </w:rPr>
            </w:pPr>
            <w:r w:rsidRPr="003338E8">
              <w:rPr>
                <w:rFonts w:ascii="Arial" w:hAnsi="Arial" w:cs="Arial"/>
                <w:b/>
                <w:bCs/>
                <w:color w:val="000000"/>
                <w:sz w:val="20"/>
                <w:szCs w:val="20"/>
                <w:lang w:eastAsia="en-US"/>
              </w:rPr>
              <w:t>Označení a popis aktivity</w:t>
            </w:r>
          </w:p>
        </w:tc>
        <w:tc>
          <w:tcPr>
            <w:tcW w:w="1701" w:type="dxa"/>
            <w:tcBorders>
              <w:top w:val="single" w:sz="8" w:space="0" w:color="auto"/>
              <w:left w:val="nil"/>
              <w:bottom w:val="nil"/>
              <w:right w:val="single" w:sz="4" w:space="0" w:color="auto"/>
            </w:tcBorders>
            <w:shd w:val="clear" w:color="auto" w:fill="9CC2E5"/>
            <w:vAlign w:val="center"/>
            <w:hideMark/>
          </w:tcPr>
          <w:p w14:paraId="6C3954E3" w14:textId="77777777" w:rsidR="003338E8" w:rsidRPr="003338E8" w:rsidRDefault="003338E8" w:rsidP="003338E8">
            <w:pPr>
              <w:spacing w:line="276" w:lineRule="auto"/>
              <w:jc w:val="center"/>
              <w:rPr>
                <w:rFonts w:ascii="Arial" w:hAnsi="Arial" w:cs="Arial"/>
                <w:b/>
                <w:bCs/>
                <w:color w:val="000000"/>
                <w:sz w:val="20"/>
                <w:szCs w:val="20"/>
                <w:lang w:eastAsia="en-US"/>
              </w:rPr>
            </w:pPr>
            <w:r w:rsidRPr="003338E8">
              <w:rPr>
                <w:rFonts w:ascii="Arial" w:hAnsi="Arial" w:cs="Arial"/>
                <w:b/>
                <w:bCs/>
                <w:color w:val="000000"/>
                <w:sz w:val="20"/>
                <w:szCs w:val="20"/>
                <w:lang w:eastAsia="en-US"/>
              </w:rPr>
              <w:t>Možnost kombinace s jinými aktivitami výzvy</w:t>
            </w:r>
          </w:p>
        </w:tc>
        <w:tc>
          <w:tcPr>
            <w:tcW w:w="4820" w:type="dxa"/>
            <w:tcBorders>
              <w:top w:val="single" w:sz="8" w:space="0" w:color="auto"/>
              <w:left w:val="single" w:sz="4" w:space="0" w:color="auto"/>
              <w:bottom w:val="nil"/>
              <w:right w:val="single" w:sz="4" w:space="0" w:color="auto"/>
            </w:tcBorders>
            <w:shd w:val="clear" w:color="auto" w:fill="9CC2E5"/>
            <w:vAlign w:val="center"/>
            <w:hideMark/>
          </w:tcPr>
          <w:p w14:paraId="6E7A7EED" w14:textId="77777777" w:rsidR="003338E8" w:rsidRPr="003338E8" w:rsidRDefault="003338E8" w:rsidP="003338E8">
            <w:pPr>
              <w:spacing w:line="276" w:lineRule="auto"/>
              <w:jc w:val="center"/>
              <w:rPr>
                <w:rFonts w:ascii="Arial" w:hAnsi="Arial" w:cs="Arial"/>
                <w:b/>
                <w:bCs/>
                <w:color w:val="000000"/>
                <w:sz w:val="20"/>
                <w:szCs w:val="20"/>
                <w:lang w:eastAsia="en-US"/>
              </w:rPr>
            </w:pPr>
            <w:r w:rsidRPr="003338E8">
              <w:rPr>
                <w:rFonts w:ascii="Arial" w:hAnsi="Arial" w:cs="Arial"/>
                <w:b/>
                <w:bCs/>
                <w:color w:val="000000"/>
                <w:sz w:val="20"/>
                <w:szCs w:val="20"/>
                <w:lang w:eastAsia="en-US"/>
              </w:rPr>
              <w:t>Povinnost vybrat indikátor</w:t>
            </w:r>
          </w:p>
        </w:tc>
        <w:tc>
          <w:tcPr>
            <w:tcW w:w="4109" w:type="dxa"/>
            <w:tcBorders>
              <w:top w:val="single" w:sz="8" w:space="0" w:color="auto"/>
              <w:left w:val="nil"/>
              <w:bottom w:val="nil"/>
              <w:right w:val="single" w:sz="4" w:space="0" w:color="auto"/>
            </w:tcBorders>
            <w:shd w:val="clear" w:color="auto" w:fill="9CC2E5"/>
            <w:vAlign w:val="center"/>
            <w:hideMark/>
          </w:tcPr>
          <w:p w14:paraId="6C642AAE" w14:textId="77777777" w:rsidR="003338E8" w:rsidRPr="003338E8" w:rsidRDefault="003338E8" w:rsidP="003338E8">
            <w:pPr>
              <w:spacing w:line="276" w:lineRule="auto"/>
              <w:jc w:val="center"/>
              <w:rPr>
                <w:rFonts w:ascii="Arial" w:hAnsi="Arial" w:cs="Arial"/>
                <w:b/>
                <w:bCs/>
                <w:color w:val="000000"/>
                <w:sz w:val="20"/>
                <w:szCs w:val="20"/>
                <w:lang w:eastAsia="en-US"/>
              </w:rPr>
            </w:pPr>
            <w:r w:rsidRPr="003338E8">
              <w:rPr>
                <w:rFonts w:ascii="Arial" w:hAnsi="Arial" w:cs="Arial"/>
                <w:b/>
                <w:bCs/>
                <w:color w:val="000000"/>
                <w:sz w:val="20"/>
                <w:szCs w:val="20"/>
                <w:lang w:eastAsia="en-US"/>
              </w:rPr>
              <w:t>Povinné indikátory k výběru v příslušné aktivitě</w:t>
            </w:r>
          </w:p>
        </w:tc>
        <w:tc>
          <w:tcPr>
            <w:tcW w:w="1519" w:type="dxa"/>
            <w:tcBorders>
              <w:top w:val="single" w:sz="8" w:space="0" w:color="auto"/>
              <w:left w:val="nil"/>
              <w:bottom w:val="nil"/>
              <w:right w:val="single" w:sz="8" w:space="0" w:color="auto"/>
            </w:tcBorders>
            <w:shd w:val="clear" w:color="auto" w:fill="9CC2E5"/>
            <w:vAlign w:val="center"/>
            <w:hideMark/>
          </w:tcPr>
          <w:p w14:paraId="59C6344B" w14:textId="77777777" w:rsidR="003338E8" w:rsidRPr="003338E8" w:rsidRDefault="003338E8" w:rsidP="003338E8">
            <w:pPr>
              <w:spacing w:line="276" w:lineRule="auto"/>
              <w:jc w:val="center"/>
              <w:rPr>
                <w:rFonts w:ascii="Arial" w:hAnsi="Arial" w:cs="Arial"/>
                <w:b/>
                <w:bCs/>
                <w:color w:val="000000"/>
                <w:sz w:val="20"/>
                <w:szCs w:val="20"/>
                <w:lang w:eastAsia="en-US"/>
              </w:rPr>
            </w:pPr>
            <w:r w:rsidRPr="003338E8">
              <w:rPr>
                <w:rFonts w:ascii="Arial" w:hAnsi="Arial" w:cs="Arial"/>
                <w:b/>
                <w:bCs/>
                <w:color w:val="000000"/>
                <w:sz w:val="20"/>
                <w:szCs w:val="20"/>
                <w:lang w:eastAsia="en-US"/>
              </w:rPr>
              <w:t>Povinný k naplnění</w:t>
            </w:r>
          </w:p>
        </w:tc>
      </w:tr>
      <w:tr w:rsidR="003338E8" w:rsidRPr="003338E8" w14:paraId="7C95153E" w14:textId="77777777" w:rsidTr="003338E8">
        <w:trPr>
          <w:trHeight w:val="832"/>
        </w:trPr>
        <w:tc>
          <w:tcPr>
            <w:tcW w:w="1768" w:type="dxa"/>
            <w:vMerge w:val="restart"/>
            <w:tcBorders>
              <w:top w:val="single" w:sz="8" w:space="0" w:color="auto"/>
              <w:left w:val="single" w:sz="4" w:space="0" w:color="auto"/>
              <w:bottom w:val="single" w:sz="4" w:space="0" w:color="000000"/>
              <w:right w:val="single" w:sz="4" w:space="0" w:color="auto"/>
            </w:tcBorders>
            <w:vAlign w:val="center"/>
            <w:hideMark/>
          </w:tcPr>
          <w:p w14:paraId="2622EB4D" w14:textId="06318C91" w:rsidR="003338E8" w:rsidRPr="003338E8" w:rsidRDefault="004D1213" w:rsidP="003338E8">
            <w:pPr>
              <w:spacing w:line="276" w:lineRule="auto"/>
              <w:rPr>
                <w:rFonts w:ascii="Arial" w:hAnsi="Arial" w:cs="Arial"/>
                <w:b/>
                <w:bCs/>
                <w:color w:val="000000"/>
                <w:sz w:val="20"/>
                <w:szCs w:val="20"/>
                <w:lang w:eastAsia="en-US"/>
              </w:rPr>
            </w:pPr>
            <w:r>
              <w:rPr>
                <w:rFonts w:ascii="Arial" w:hAnsi="Arial" w:cs="Arial"/>
                <w:b/>
                <w:bCs/>
                <w:color w:val="000000"/>
                <w:sz w:val="20"/>
                <w:szCs w:val="20"/>
                <w:lang w:eastAsia="en-US"/>
              </w:rPr>
              <w:t>Sociální služby</w:t>
            </w:r>
          </w:p>
        </w:tc>
        <w:tc>
          <w:tcPr>
            <w:tcW w:w="1701" w:type="dxa"/>
            <w:vMerge w:val="restart"/>
            <w:tcBorders>
              <w:top w:val="single" w:sz="8" w:space="0" w:color="auto"/>
              <w:left w:val="nil"/>
              <w:bottom w:val="single" w:sz="4" w:space="0" w:color="auto"/>
              <w:right w:val="single" w:sz="4" w:space="0" w:color="auto"/>
            </w:tcBorders>
            <w:vAlign w:val="center"/>
            <w:hideMark/>
          </w:tcPr>
          <w:p w14:paraId="24A9A6F1" w14:textId="77777777" w:rsidR="003338E8" w:rsidRPr="003338E8" w:rsidRDefault="003338E8" w:rsidP="003338E8">
            <w:pPr>
              <w:spacing w:line="276" w:lineRule="auto"/>
              <w:rPr>
                <w:rFonts w:ascii="Arial" w:hAnsi="Arial" w:cs="Arial"/>
                <w:color w:val="000000"/>
                <w:sz w:val="20"/>
                <w:szCs w:val="20"/>
                <w:lang w:eastAsia="en-US"/>
              </w:rPr>
            </w:pPr>
            <w:r w:rsidRPr="003338E8">
              <w:rPr>
                <w:rFonts w:ascii="Arial" w:hAnsi="Arial" w:cs="Arial"/>
                <w:color w:val="000000"/>
                <w:sz w:val="20"/>
                <w:szCs w:val="20"/>
                <w:lang w:eastAsia="en-US"/>
              </w:rPr>
              <w:t>Ne</w:t>
            </w:r>
          </w:p>
        </w:tc>
        <w:tc>
          <w:tcPr>
            <w:tcW w:w="4820"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1B762759" w14:textId="77777777" w:rsidR="003338E8" w:rsidRPr="003274A4" w:rsidRDefault="003338E8" w:rsidP="003338E8">
            <w:pPr>
              <w:spacing w:line="276" w:lineRule="auto"/>
              <w:rPr>
                <w:rFonts w:ascii="Arial" w:hAnsi="Arial" w:cs="Arial"/>
                <w:i/>
                <w:iCs/>
                <w:color w:val="000000"/>
                <w:sz w:val="20"/>
                <w:szCs w:val="20"/>
                <w:highlight w:val="yellow"/>
                <w:lang w:eastAsia="en-US"/>
              </w:rPr>
            </w:pPr>
            <w:r w:rsidRPr="003274A4">
              <w:rPr>
                <w:rFonts w:ascii="Arial" w:hAnsi="Arial" w:cs="Arial"/>
                <w:i/>
                <w:iCs/>
                <w:color w:val="000000"/>
                <w:sz w:val="20"/>
                <w:szCs w:val="20"/>
                <w:lang w:eastAsia="en-US"/>
              </w:rPr>
              <w:t>Ano</w:t>
            </w:r>
          </w:p>
        </w:tc>
        <w:tc>
          <w:tcPr>
            <w:tcW w:w="4109" w:type="dxa"/>
            <w:tcBorders>
              <w:top w:val="single" w:sz="8" w:space="0" w:color="auto"/>
              <w:left w:val="nil"/>
              <w:bottom w:val="single" w:sz="8" w:space="0" w:color="auto"/>
              <w:right w:val="single" w:sz="4" w:space="0" w:color="auto"/>
            </w:tcBorders>
            <w:vAlign w:val="center"/>
            <w:hideMark/>
          </w:tcPr>
          <w:p w14:paraId="1ED032DD" w14:textId="0EA3B80C" w:rsidR="003338E8" w:rsidRPr="003338E8" w:rsidRDefault="003338E8" w:rsidP="003338E8">
            <w:pPr>
              <w:spacing w:line="276" w:lineRule="auto"/>
              <w:rPr>
                <w:rFonts w:ascii="Arial" w:hAnsi="Arial" w:cs="Arial"/>
                <w:color w:val="000000"/>
                <w:sz w:val="20"/>
                <w:szCs w:val="20"/>
                <w:lang w:eastAsia="en-US"/>
              </w:rPr>
            </w:pPr>
            <w:r w:rsidRPr="003338E8">
              <w:rPr>
                <w:rFonts w:ascii="Arial" w:eastAsia="Calibri" w:hAnsi="Arial" w:cs="Arial"/>
                <w:noProof/>
                <w:color w:val="000000"/>
                <w:sz w:val="20"/>
                <w:szCs w:val="20"/>
                <w:lang w:eastAsia="en-US"/>
              </w:rPr>
              <w:t>554 010 - Počet podpořených zázemí pro služby a sociální práci</w:t>
            </w:r>
          </w:p>
        </w:tc>
        <w:tc>
          <w:tcPr>
            <w:tcW w:w="1519" w:type="dxa"/>
            <w:tcBorders>
              <w:top w:val="single" w:sz="8" w:space="0" w:color="auto"/>
              <w:left w:val="single" w:sz="4" w:space="0" w:color="auto"/>
              <w:bottom w:val="single" w:sz="8" w:space="0" w:color="auto"/>
              <w:right w:val="single" w:sz="8" w:space="0" w:color="auto"/>
            </w:tcBorders>
            <w:vAlign w:val="center"/>
            <w:hideMark/>
          </w:tcPr>
          <w:p w14:paraId="343BFE3C" w14:textId="77777777"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r w:rsidR="003338E8" w:rsidRPr="003338E8" w14:paraId="7FA04ACD" w14:textId="77777777" w:rsidTr="003338E8">
        <w:trPr>
          <w:trHeight w:val="832"/>
        </w:trPr>
        <w:tc>
          <w:tcPr>
            <w:tcW w:w="0" w:type="auto"/>
            <w:vMerge/>
            <w:tcBorders>
              <w:top w:val="single" w:sz="8" w:space="0" w:color="auto"/>
              <w:left w:val="single" w:sz="4" w:space="0" w:color="auto"/>
              <w:bottom w:val="single" w:sz="4" w:space="0" w:color="000000"/>
              <w:right w:val="single" w:sz="4" w:space="0" w:color="auto"/>
            </w:tcBorders>
            <w:vAlign w:val="center"/>
            <w:hideMark/>
          </w:tcPr>
          <w:p w14:paraId="7E5CD65E" w14:textId="77777777" w:rsidR="003338E8" w:rsidRPr="003338E8" w:rsidRDefault="003338E8" w:rsidP="003338E8">
            <w:pPr>
              <w:spacing w:line="276" w:lineRule="auto"/>
              <w:rPr>
                <w:rFonts w:ascii="Arial" w:hAnsi="Arial" w:cs="Arial"/>
                <w:b/>
                <w:bCs/>
                <w:color w:val="000000"/>
                <w:sz w:val="20"/>
                <w:szCs w:val="20"/>
                <w:lang w:eastAsia="en-US"/>
              </w:rPr>
            </w:pPr>
          </w:p>
        </w:tc>
        <w:tc>
          <w:tcPr>
            <w:tcW w:w="0" w:type="auto"/>
            <w:vMerge/>
            <w:tcBorders>
              <w:top w:val="single" w:sz="8" w:space="0" w:color="auto"/>
              <w:left w:val="nil"/>
              <w:bottom w:val="single" w:sz="4" w:space="0" w:color="auto"/>
              <w:right w:val="single" w:sz="4" w:space="0" w:color="auto"/>
            </w:tcBorders>
            <w:vAlign w:val="center"/>
            <w:hideMark/>
          </w:tcPr>
          <w:p w14:paraId="4A98D540" w14:textId="77777777" w:rsidR="003338E8" w:rsidRPr="003338E8" w:rsidRDefault="003338E8" w:rsidP="003338E8">
            <w:pPr>
              <w:spacing w:line="276" w:lineRule="auto"/>
              <w:rPr>
                <w:rFonts w:ascii="Arial" w:hAnsi="Arial" w:cs="Arial"/>
                <w:color w:val="00000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9D0E3" w14:textId="2BCB8B6D" w:rsidR="003338E8" w:rsidRPr="003274A4" w:rsidRDefault="003338E8" w:rsidP="003338E8">
            <w:pPr>
              <w:spacing w:line="276" w:lineRule="auto"/>
              <w:rPr>
                <w:rFonts w:ascii="Arial" w:hAnsi="Arial" w:cs="Arial"/>
                <w:i/>
                <w:iCs/>
                <w:color w:val="000000"/>
                <w:sz w:val="20"/>
                <w:szCs w:val="20"/>
                <w:lang w:eastAsia="en-US"/>
              </w:rPr>
            </w:pPr>
            <w:r w:rsidRPr="003274A4">
              <w:rPr>
                <w:rFonts w:ascii="Arial" w:hAnsi="Arial" w:cs="Arial"/>
                <w:i/>
                <w:iCs/>
                <w:color w:val="000000"/>
                <w:sz w:val="20"/>
                <w:szCs w:val="20"/>
                <w:lang w:eastAsia="en-US"/>
              </w:rPr>
              <w:t xml:space="preserve">Indikátor je povinný k výběru pro projekty, u kterých dochází k navýšení (vzniku nových) </w:t>
            </w:r>
            <w:r w:rsidRPr="003274A4">
              <w:rPr>
                <w:rFonts w:ascii="Arial" w:hAnsi="Arial" w:cs="Arial"/>
                <w:b/>
                <w:bCs/>
                <w:i/>
                <w:iCs/>
                <w:color w:val="000000"/>
                <w:sz w:val="20"/>
                <w:szCs w:val="20"/>
                <w:lang w:eastAsia="en-US"/>
              </w:rPr>
              <w:t>nepobytových</w:t>
            </w:r>
            <w:r w:rsidRPr="003274A4">
              <w:rPr>
                <w:rFonts w:ascii="Arial" w:hAnsi="Arial" w:cs="Arial"/>
                <w:i/>
                <w:iCs/>
                <w:color w:val="000000"/>
                <w:sz w:val="20"/>
                <w:szCs w:val="20"/>
                <w:lang w:eastAsia="en-US"/>
              </w:rPr>
              <w:t xml:space="preserve"> sociálních služeb.</w:t>
            </w:r>
          </w:p>
        </w:tc>
        <w:tc>
          <w:tcPr>
            <w:tcW w:w="4109" w:type="dxa"/>
            <w:tcBorders>
              <w:top w:val="single" w:sz="8" w:space="0" w:color="auto"/>
              <w:left w:val="nil"/>
              <w:bottom w:val="single" w:sz="8" w:space="0" w:color="auto"/>
              <w:right w:val="single" w:sz="4" w:space="0" w:color="auto"/>
            </w:tcBorders>
            <w:vAlign w:val="center"/>
            <w:hideMark/>
          </w:tcPr>
          <w:p w14:paraId="190F9019" w14:textId="279F94E3" w:rsidR="003338E8" w:rsidRPr="003338E8" w:rsidRDefault="003338E8" w:rsidP="003338E8">
            <w:pPr>
              <w:spacing w:line="276" w:lineRule="auto"/>
              <w:rPr>
                <w:rFonts w:ascii="Arial" w:hAnsi="Arial" w:cs="Arial"/>
                <w:color w:val="000000"/>
                <w:sz w:val="20"/>
                <w:szCs w:val="20"/>
                <w:lang w:eastAsia="en-US"/>
              </w:rPr>
            </w:pPr>
            <w:r w:rsidRPr="003338E8">
              <w:rPr>
                <w:rFonts w:ascii="Arial" w:eastAsia="Calibri" w:hAnsi="Arial" w:cs="Arial"/>
                <w:color w:val="000000"/>
                <w:sz w:val="20"/>
                <w:szCs w:val="20"/>
                <w:lang w:eastAsia="en-US"/>
              </w:rPr>
              <w:t>554</w:t>
            </w:r>
            <w:r w:rsidR="00C8147C">
              <w:rPr>
                <w:rFonts w:ascii="Arial" w:eastAsia="Calibri" w:hAnsi="Arial" w:cs="Arial"/>
                <w:color w:val="000000"/>
                <w:sz w:val="20"/>
                <w:szCs w:val="20"/>
                <w:lang w:eastAsia="en-US"/>
              </w:rPr>
              <w:t> </w:t>
            </w:r>
            <w:r>
              <w:rPr>
                <w:rFonts w:ascii="Arial" w:eastAsia="Calibri" w:hAnsi="Arial" w:cs="Arial"/>
                <w:color w:val="000000"/>
                <w:sz w:val="20"/>
                <w:szCs w:val="20"/>
                <w:lang w:eastAsia="en-US"/>
              </w:rPr>
              <w:t>3</w:t>
            </w:r>
            <w:r w:rsidRPr="003338E8">
              <w:rPr>
                <w:rFonts w:ascii="Arial" w:eastAsia="Calibri" w:hAnsi="Arial" w:cs="Arial"/>
                <w:color w:val="000000"/>
                <w:sz w:val="20"/>
                <w:szCs w:val="20"/>
                <w:lang w:eastAsia="en-US"/>
              </w:rPr>
              <w:t>01</w:t>
            </w:r>
            <w:r w:rsidR="00C8147C">
              <w:rPr>
                <w:rFonts w:ascii="Arial" w:eastAsia="Calibri" w:hAnsi="Arial" w:cs="Arial"/>
                <w:color w:val="000000"/>
                <w:sz w:val="20"/>
                <w:szCs w:val="20"/>
                <w:lang w:eastAsia="en-US"/>
              </w:rPr>
              <w:t xml:space="preserve"> </w:t>
            </w:r>
            <w:r w:rsidRPr="003338E8">
              <w:rPr>
                <w:rFonts w:ascii="Arial" w:eastAsia="Calibri" w:hAnsi="Arial" w:cs="Arial"/>
                <w:color w:val="000000"/>
                <w:sz w:val="20"/>
                <w:szCs w:val="20"/>
                <w:lang w:eastAsia="en-US"/>
              </w:rPr>
              <w:t>- Nová kapacita podpořených zařízení nepobytových sociálních služeb</w:t>
            </w:r>
          </w:p>
        </w:tc>
        <w:tc>
          <w:tcPr>
            <w:tcW w:w="1519" w:type="dxa"/>
            <w:tcBorders>
              <w:top w:val="single" w:sz="8" w:space="0" w:color="auto"/>
              <w:left w:val="single" w:sz="4" w:space="0" w:color="auto"/>
              <w:bottom w:val="single" w:sz="8" w:space="0" w:color="auto"/>
              <w:right w:val="single" w:sz="8" w:space="0" w:color="auto"/>
            </w:tcBorders>
            <w:vAlign w:val="center"/>
            <w:hideMark/>
          </w:tcPr>
          <w:p w14:paraId="0517DDB0" w14:textId="77777777"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r w:rsidR="003338E8" w:rsidRPr="003338E8" w14:paraId="7338A1AA" w14:textId="77777777" w:rsidTr="003338E8">
        <w:trPr>
          <w:trHeight w:val="832"/>
        </w:trPr>
        <w:tc>
          <w:tcPr>
            <w:tcW w:w="0" w:type="auto"/>
            <w:vMerge/>
            <w:tcBorders>
              <w:top w:val="single" w:sz="8" w:space="0" w:color="auto"/>
              <w:left w:val="single" w:sz="4" w:space="0" w:color="auto"/>
              <w:bottom w:val="single" w:sz="4" w:space="0" w:color="000000"/>
              <w:right w:val="single" w:sz="4" w:space="0" w:color="auto"/>
            </w:tcBorders>
            <w:vAlign w:val="center"/>
            <w:hideMark/>
          </w:tcPr>
          <w:p w14:paraId="43629E92" w14:textId="77777777" w:rsidR="003338E8" w:rsidRPr="003338E8" w:rsidRDefault="003338E8" w:rsidP="003338E8">
            <w:pPr>
              <w:spacing w:line="276" w:lineRule="auto"/>
              <w:rPr>
                <w:rFonts w:ascii="Arial" w:hAnsi="Arial" w:cs="Arial"/>
                <w:b/>
                <w:bCs/>
                <w:color w:val="000000"/>
                <w:sz w:val="20"/>
                <w:szCs w:val="20"/>
                <w:lang w:eastAsia="en-US"/>
              </w:rPr>
            </w:pPr>
          </w:p>
        </w:tc>
        <w:tc>
          <w:tcPr>
            <w:tcW w:w="0" w:type="auto"/>
            <w:vMerge/>
            <w:tcBorders>
              <w:top w:val="single" w:sz="8" w:space="0" w:color="auto"/>
              <w:left w:val="nil"/>
              <w:bottom w:val="single" w:sz="4" w:space="0" w:color="auto"/>
              <w:right w:val="single" w:sz="4" w:space="0" w:color="auto"/>
            </w:tcBorders>
            <w:vAlign w:val="center"/>
            <w:hideMark/>
          </w:tcPr>
          <w:p w14:paraId="396A29DF" w14:textId="77777777" w:rsidR="003338E8" w:rsidRPr="003338E8" w:rsidRDefault="003338E8" w:rsidP="003338E8">
            <w:pPr>
              <w:spacing w:line="276" w:lineRule="auto"/>
              <w:rPr>
                <w:rFonts w:ascii="Arial" w:hAnsi="Arial" w:cs="Arial"/>
                <w:color w:val="00000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519E4" w14:textId="1F4251A2" w:rsidR="003338E8" w:rsidRPr="003274A4" w:rsidRDefault="003338E8" w:rsidP="003338E8">
            <w:pPr>
              <w:spacing w:line="276" w:lineRule="auto"/>
              <w:rPr>
                <w:rFonts w:ascii="Arial" w:hAnsi="Arial" w:cs="Arial"/>
                <w:i/>
                <w:iCs/>
                <w:color w:val="000000"/>
                <w:sz w:val="20"/>
                <w:szCs w:val="20"/>
                <w:highlight w:val="lightGray"/>
                <w:lang w:eastAsia="en-US"/>
              </w:rPr>
            </w:pPr>
            <w:r w:rsidRPr="003274A4">
              <w:rPr>
                <w:rFonts w:ascii="Arial" w:hAnsi="Arial" w:cs="Arial"/>
                <w:i/>
                <w:iCs/>
                <w:color w:val="000000"/>
                <w:sz w:val="20"/>
                <w:szCs w:val="20"/>
                <w:lang w:eastAsia="en-US"/>
              </w:rPr>
              <w:t xml:space="preserve">Indikátor je povinný k výběru pro projekty, u kterých dochází k modernizaci/rekonstrukci existujících kapacit </w:t>
            </w:r>
            <w:r w:rsidRPr="003274A4">
              <w:rPr>
                <w:rFonts w:ascii="Arial" w:hAnsi="Arial" w:cs="Arial"/>
                <w:b/>
                <w:bCs/>
                <w:i/>
                <w:iCs/>
                <w:color w:val="000000"/>
                <w:sz w:val="20"/>
                <w:szCs w:val="20"/>
                <w:lang w:eastAsia="en-US"/>
              </w:rPr>
              <w:t xml:space="preserve">nepobytových </w:t>
            </w:r>
            <w:r w:rsidRPr="003274A4">
              <w:rPr>
                <w:rFonts w:ascii="Arial" w:hAnsi="Arial" w:cs="Arial"/>
                <w:i/>
                <w:iCs/>
                <w:color w:val="000000"/>
                <w:sz w:val="20"/>
                <w:szCs w:val="20"/>
                <w:lang w:eastAsia="en-US"/>
              </w:rPr>
              <w:t>sociálních služeb.</w:t>
            </w:r>
          </w:p>
        </w:tc>
        <w:tc>
          <w:tcPr>
            <w:tcW w:w="4109" w:type="dxa"/>
            <w:tcBorders>
              <w:top w:val="single" w:sz="8" w:space="0" w:color="auto"/>
              <w:left w:val="nil"/>
              <w:bottom w:val="single" w:sz="8" w:space="0" w:color="auto"/>
              <w:right w:val="single" w:sz="4" w:space="0" w:color="auto"/>
            </w:tcBorders>
            <w:vAlign w:val="center"/>
            <w:hideMark/>
          </w:tcPr>
          <w:p w14:paraId="624F1D69" w14:textId="431CA5E9" w:rsidR="003338E8" w:rsidRPr="003338E8" w:rsidRDefault="003338E8" w:rsidP="003338E8">
            <w:pPr>
              <w:spacing w:line="276" w:lineRule="auto"/>
              <w:rPr>
                <w:rFonts w:ascii="Arial" w:eastAsia="Calibri" w:hAnsi="Arial" w:cs="Arial"/>
                <w:color w:val="000000"/>
                <w:sz w:val="20"/>
                <w:szCs w:val="20"/>
                <w:lang w:eastAsia="en-US"/>
              </w:rPr>
            </w:pPr>
            <w:r w:rsidRPr="003338E8">
              <w:rPr>
                <w:rFonts w:ascii="Arial" w:eastAsia="Calibri" w:hAnsi="Arial" w:cs="Arial"/>
                <w:color w:val="000000"/>
                <w:sz w:val="20"/>
                <w:szCs w:val="20"/>
                <w:lang w:eastAsia="en-US"/>
              </w:rPr>
              <w:t>554</w:t>
            </w:r>
            <w:r w:rsidR="00C8147C">
              <w:rPr>
                <w:rFonts w:ascii="Arial" w:eastAsia="Calibri" w:hAnsi="Arial" w:cs="Arial"/>
                <w:color w:val="000000"/>
                <w:sz w:val="20"/>
                <w:szCs w:val="20"/>
                <w:lang w:eastAsia="en-US"/>
              </w:rPr>
              <w:t> </w:t>
            </w:r>
            <w:r w:rsidRPr="003338E8">
              <w:rPr>
                <w:rFonts w:ascii="Arial" w:eastAsia="Calibri" w:hAnsi="Arial" w:cs="Arial"/>
                <w:color w:val="000000"/>
                <w:sz w:val="20"/>
                <w:szCs w:val="20"/>
                <w:lang w:eastAsia="en-US"/>
              </w:rPr>
              <w:t>401</w:t>
            </w:r>
            <w:r w:rsidR="00C8147C">
              <w:rPr>
                <w:rFonts w:ascii="Arial" w:eastAsia="Calibri" w:hAnsi="Arial" w:cs="Arial"/>
                <w:color w:val="000000"/>
                <w:sz w:val="20"/>
                <w:szCs w:val="20"/>
                <w:lang w:eastAsia="en-US"/>
              </w:rPr>
              <w:t xml:space="preserve"> </w:t>
            </w:r>
            <w:r w:rsidRPr="003338E8">
              <w:rPr>
                <w:rFonts w:ascii="Arial" w:eastAsia="Calibri" w:hAnsi="Arial" w:cs="Arial"/>
                <w:color w:val="000000"/>
                <w:sz w:val="20"/>
                <w:szCs w:val="20"/>
                <w:lang w:eastAsia="en-US"/>
              </w:rPr>
              <w:t>- Rekonstruovaná či modernizovaná kapacita podpořených zařízení nepobytových sociálních služeb</w:t>
            </w:r>
          </w:p>
        </w:tc>
        <w:tc>
          <w:tcPr>
            <w:tcW w:w="1519" w:type="dxa"/>
            <w:tcBorders>
              <w:top w:val="single" w:sz="8" w:space="0" w:color="auto"/>
              <w:left w:val="single" w:sz="4" w:space="0" w:color="auto"/>
              <w:bottom w:val="single" w:sz="8" w:space="0" w:color="auto"/>
              <w:right w:val="single" w:sz="8" w:space="0" w:color="auto"/>
            </w:tcBorders>
            <w:vAlign w:val="center"/>
            <w:hideMark/>
          </w:tcPr>
          <w:p w14:paraId="10284054" w14:textId="77777777"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r w:rsidR="003338E8" w:rsidRPr="003338E8" w14:paraId="6AD05923" w14:textId="77777777" w:rsidTr="003338E8">
        <w:trPr>
          <w:trHeight w:val="832"/>
        </w:trPr>
        <w:tc>
          <w:tcPr>
            <w:tcW w:w="0" w:type="auto"/>
            <w:vMerge/>
            <w:tcBorders>
              <w:top w:val="single" w:sz="8" w:space="0" w:color="auto"/>
              <w:left w:val="single" w:sz="4" w:space="0" w:color="auto"/>
              <w:bottom w:val="single" w:sz="4" w:space="0" w:color="000000"/>
              <w:right w:val="single" w:sz="4" w:space="0" w:color="auto"/>
            </w:tcBorders>
            <w:vAlign w:val="center"/>
          </w:tcPr>
          <w:p w14:paraId="7DE21FF2" w14:textId="77777777" w:rsidR="003338E8" w:rsidRPr="003338E8" w:rsidRDefault="003338E8" w:rsidP="003338E8">
            <w:pPr>
              <w:spacing w:line="276" w:lineRule="auto"/>
              <w:rPr>
                <w:rFonts w:ascii="Arial" w:hAnsi="Arial" w:cs="Arial"/>
                <w:b/>
                <w:bCs/>
                <w:color w:val="000000"/>
                <w:sz w:val="20"/>
                <w:szCs w:val="20"/>
                <w:lang w:eastAsia="en-US"/>
              </w:rPr>
            </w:pPr>
          </w:p>
        </w:tc>
        <w:tc>
          <w:tcPr>
            <w:tcW w:w="0" w:type="auto"/>
            <w:vMerge/>
            <w:tcBorders>
              <w:top w:val="single" w:sz="8" w:space="0" w:color="auto"/>
              <w:left w:val="nil"/>
              <w:bottom w:val="single" w:sz="4" w:space="0" w:color="auto"/>
              <w:right w:val="single" w:sz="4" w:space="0" w:color="auto"/>
            </w:tcBorders>
            <w:vAlign w:val="center"/>
          </w:tcPr>
          <w:p w14:paraId="66F07AAD" w14:textId="77777777" w:rsidR="003338E8" w:rsidRPr="003338E8" w:rsidRDefault="003338E8" w:rsidP="003338E8">
            <w:pPr>
              <w:spacing w:line="276" w:lineRule="auto"/>
              <w:rPr>
                <w:rFonts w:ascii="Arial" w:hAnsi="Arial" w:cs="Arial"/>
                <w:color w:val="00000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329F311D" w14:textId="0A6B4D4A" w:rsidR="003338E8" w:rsidRPr="003274A4" w:rsidRDefault="003338E8" w:rsidP="003338E8">
            <w:pPr>
              <w:spacing w:line="276" w:lineRule="auto"/>
              <w:rPr>
                <w:rFonts w:ascii="Arial" w:hAnsi="Arial" w:cs="Arial"/>
                <w:i/>
                <w:iCs/>
                <w:color w:val="000000"/>
                <w:sz w:val="20"/>
                <w:szCs w:val="20"/>
                <w:lang w:eastAsia="en-US"/>
              </w:rPr>
            </w:pPr>
            <w:r w:rsidRPr="003274A4">
              <w:rPr>
                <w:rFonts w:ascii="Arial" w:hAnsi="Arial" w:cs="Arial"/>
                <w:i/>
                <w:iCs/>
                <w:color w:val="000000"/>
                <w:sz w:val="20"/>
                <w:szCs w:val="20"/>
                <w:lang w:eastAsia="en-US"/>
              </w:rPr>
              <w:t xml:space="preserve">Indikátor je povinný k výběru pro projekty, u kterých dochází k navýšení (vzniku nových) </w:t>
            </w:r>
            <w:r w:rsidRPr="003274A4">
              <w:rPr>
                <w:rFonts w:ascii="Arial" w:hAnsi="Arial" w:cs="Arial"/>
                <w:b/>
                <w:bCs/>
                <w:i/>
                <w:iCs/>
                <w:color w:val="000000"/>
                <w:sz w:val="20"/>
                <w:szCs w:val="20"/>
                <w:lang w:eastAsia="en-US"/>
              </w:rPr>
              <w:t>pobytových</w:t>
            </w:r>
            <w:r w:rsidRPr="003274A4">
              <w:rPr>
                <w:rFonts w:ascii="Arial" w:hAnsi="Arial" w:cs="Arial"/>
                <w:i/>
                <w:iCs/>
                <w:color w:val="000000"/>
                <w:sz w:val="20"/>
                <w:szCs w:val="20"/>
                <w:lang w:eastAsia="en-US"/>
              </w:rPr>
              <w:t xml:space="preserve"> sociálních služeb.</w:t>
            </w:r>
          </w:p>
        </w:tc>
        <w:tc>
          <w:tcPr>
            <w:tcW w:w="4109" w:type="dxa"/>
            <w:tcBorders>
              <w:top w:val="single" w:sz="8" w:space="0" w:color="auto"/>
              <w:left w:val="nil"/>
              <w:bottom w:val="single" w:sz="8" w:space="0" w:color="auto"/>
              <w:right w:val="single" w:sz="4" w:space="0" w:color="auto"/>
            </w:tcBorders>
            <w:vAlign w:val="center"/>
          </w:tcPr>
          <w:p w14:paraId="202BFF74" w14:textId="47AEA52D" w:rsidR="003338E8" w:rsidRPr="003338E8" w:rsidRDefault="003338E8" w:rsidP="003338E8">
            <w:pPr>
              <w:spacing w:line="276" w:lineRule="auto"/>
              <w:rPr>
                <w:rFonts w:ascii="Arial" w:eastAsia="Calibri" w:hAnsi="Arial" w:cs="Arial"/>
                <w:color w:val="000000"/>
                <w:sz w:val="20"/>
                <w:szCs w:val="20"/>
                <w:lang w:eastAsia="en-US"/>
              </w:rPr>
            </w:pPr>
            <w:r w:rsidRPr="003338E8">
              <w:rPr>
                <w:rFonts w:ascii="Arial" w:eastAsia="Calibri" w:hAnsi="Arial" w:cs="Arial"/>
                <w:color w:val="000000"/>
                <w:sz w:val="20"/>
                <w:szCs w:val="20"/>
                <w:lang w:eastAsia="en-US"/>
              </w:rPr>
              <w:t>554</w:t>
            </w:r>
            <w:r w:rsidR="00C8147C">
              <w:rPr>
                <w:rFonts w:ascii="Arial" w:eastAsia="Calibri" w:hAnsi="Arial" w:cs="Arial"/>
                <w:color w:val="000000"/>
                <w:sz w:val="20"/>
                <w:szCs w:val="20"/>
                <w:lang w:eastAsia="en-US"/>
              </w:rPr>
              <w:t> </w:t>
            </w:r>
            <w:r>
              <w:rPr>
                <w:rFonts w:ascii="Arial" w:eastAsia="Calibri" w:hAnsi="Arial" w:cs="Arial"/>
                <w:color w:val="000000"/>
                <w:sz w:val="20"/>
                <w:szCs w:val="20"/>
                <w:lang w:eastAsia="en-US"/>
              </w:rPr>
              <w:t>1</w:t>
            </w:r>
            <w:r w:rsidRPr="003338E8">
              <w:rPr>
                <w:rFonts w:ascii="Arial" w:eastAsia="Calibri" w:hAnsi="Arial" w:cs="Arial"/>
                <w:color w:val="000000"/>
                <w:sz w:val="20"/>
                <w:szCs w:val="20"/>
                <w:lang w:eastAsia="en-US"/>
              </w:rPr>
              <w:t>01</w:t>
            </w:r>
            <w:r w:rsidR="00C8147C">
              <w:rPr>
                <w:rFonts w:ascii="Arial" w:eastAsia="Calibri" w:hAnsi="Arial" w:cs="Arial"/>
                <w:color w:val="000000"/>
                <w:sz w:val="20"/>
                <w:szCs w:val="20"/>
                <w:lang w:eastAsia="en-US"/>
              </w:rPr>
              <w:t xml:space="preserve"> </w:t>
            </w:r>
            <w:r w:rsidRPr="003338E8">
              <w:rPr>
                <w:rFonts w:ascii="Arial" w:eastAsia="Calibri" w:hAnsi="Arial" w:cs="Arial"/>
                <w:color w:val="000000"/>
                <w:sz w:val="20"/>
                <w:szCs w:val="20"/>
                <w:lang w:eastAsia="en-US"/>
              </w:rPr>
              <w:t>- Nová kapacita podpořených zařízení pobytových sociálních služeb</w:t>
            </w:r>
          </w:p>
        </w:tc>
        <w:tc>
          <w:tcPr>
            <w:tcW w:w="1519" w:type="dxa"/>
            <w:tcBorders>
              <w:top w:val="single" w:sz="8" w:space="0" w:color="auto"/>
              <w:left w:val="single" w:sz="4" w:space="0" w:color="auto"/>
              <w:bottom w:val="single" w:sz="8" w:space="0" w:color="auto"/>
              <w:right w:val="single" w:sz="8" w:space="0" w:color="auto"/>
            </w:tcBorders>
            <w:vAlign w:val="center"/>
          </w:tcPr>
          <w:p w14:paraId="52F3B76B" w14:textId="6B41E169"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r w:rsidR="003338E8" w:rsidRPr="003338E8" w14:paraId="16EE8426" w14:textId="77777777" w:rsidTr="003338E8">
        <w:trPr>
          <w:trHeight w:val="832"/>
        </w:trPr>
        <w:tc>
          <w:tcPr>
            <w:tcW w:w="0" w:type="auto"/>
            <w:vMerge/>
            <w:tcBorders>
              <w:top w:val="single" w:sz="8" w:space="0" w:color="auto"/>
              <w:left w:val="single" w:sz="4" w:space="0" w:color="auto"/>
              <w:bottom w:val="single" w:sz="4" w:space="0" w:color="000000"/>
              <w:right w:val="single" w:sz="4" w:space="0" w:color="auto"/>
            </w:tcBorders>
            <w:vAlign w:val="center"/>
          </w:tcPr>
          <w:p w14:paraId="508D1CF7" w14:textId="77777777" w:rsidR="003338E8" w:rsidRPr="003338E8" w:rsidRDefault="003338E8" w:rsidP="003338E8">
            <w:pPr>
              <w:spacing w:line="276" w:lineRule="auto"/>
              <w:rPr>
                <w:rFonts w:ascii="Arial" w:hAnsi="Arial" w:cs="Arial"/>
                <w:b/>
                <w:bCs/>
                <w:color w:val="000000"/>
                <w:sz w:val="20"/>
                <w:szCs w:val="20"/>
                <w:lang w:eastAsia="en-US"/>
              </w:rPr>
            </w:pPr>
          </w:p>
        </w:tc>
        <w:tc>
          <w:tcPr>
            <w:tcW w:w="0" w:type="auto"/>
            <w:vMerge/>
            <w:tcBorders>
              <w:top w:val="single" w:sz="8" w:space="0" w:color="auto"/>
              <w:left w:val="nil"/>
              <w:bottom w:val="single" w:sz="4" w:space="0" w:color="auto"/>
              <w:right w:val="single" w:sz="4" w:space="0" w:color="auto"/>
            </w:tcBorders>
            <w:vAlign w:val="center"/>
          </w:tcPr>
          <w:p w14:paraId="509D1602" w14:textId="77777777" w:rsidR="003338E8" w:rsidRPr="003338E8" w:rsidRDefault="003338E8" w:rsidP="003338E8">
            <w:pPr>
              <w:spacing w:line="276" w:lineRule="auto"/>
              <w:rPr>
                <w:rFonts w:ascii="Arial" w:hAnsi="Arial" w:cs="Arial"/>
                <w:color w:val="00000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3562223E" w14:textId="0B31F6F7" w:rsidR="003338E8" w:rsidRPr="003274A4" w:rsidRDefault="003338E8" w:rsidP="003338E8">
            <w:pPr>
              <w:spacing w:line="276" w:lineRule="auto"/>
              <w:rPr>
                <w:rFonts w:ascii="Arial" w:hAnsi="Arial" w:cs="Arial"/>
                <w:i/>
                <w:iCs/>
                <w:color w:val="000000"/>
                <w:sz w:val="20"/>
                <w:szCs w:val="20"/>
                <w:lang w:eastAsia="en-US"/>
              </w:rPr>
            </w:pPr>
            <w:r w:rsidRPr="003274A4">
              <w:rPr>
                <w:rFonts w:ascii="Arial" w:hAnsi="Arial" w:cs="Arial"/>
                <w:i/>
                <w:iCs/>
                <w:color w:val="000000"/>
                <w:sz w:val="20"/>
                <w:szCs w:val="20"/>
                <w:lang w:eastAsia="en-US"/>
              </w:rPr>
              <w:t>Indikátor je povinný k výběru pro projekty, u kterých dochází k modernizaci existujících kapacit</w:t>
            </w:r>
            <w:r w:rsidRPr="003274A4">
              <w:rPr>
                <w:rFonts w:ascii="Arial" w:hAnsi="Arial" w:cs="Arial"/>
                <w:b/>
                <w:bCs/>
                <w:i/>
                <w:iCs/>
                <w:color w:val="000000"/>
                <w:sz w:val="20"/>
                <w:szCs w:val="20"/>
                <w:lang w:eastAsia="en-US"/>
              </w:rPr>
              <w:t xml:space="preserve"> pobytových </w:t>
            </w:r>
            <w:r w:rsidRPr="003274A4">
              <w:rPr>
                <w:rFonts w:ascii="Arial" w:hAnsi="Arial" w:cs="Arial"/>
                <w:i/>
                <w:iCs/>
                <w:color w:val="000000"/>
                <w:sz w:val="20"/>
                <w:szCs w:val="20"/>
                <w:lang w:eastAsia="en-US"/>
              </w:rPr>
              <w:t>sociálních služeb.</w:t>
            </w:r>
          </w:p>
        </w:tc>
        <w:tc>
          <w:tcPr>
            <w:tcW w:w="4109" w:type="dxa"/>
            <w:tcBorders>
              <w:top w:val="single" w:sz="8" w:space="0" w:color="auto"/>
              <w:left w:val="nil"/>
              <w:bottom w:val="single" w:sz="8" w:space="0" w:color="auto"/>
              <w:right w:val="single" w:sz="4" w:space="0" w:color="auto"/>
            </w:tcBorders>
            <w:vAlign w:val="center"/>
          </w:tcPr>
          <w:p w14:paraId="10C8845C" w14:textId="2D4A3E3F" w:rsidR="003338E8" w:rsidRPr="003338E8" w:rsidRDefault="003338E8" w:rsidP="003338E8">
            <w:pPr>
              <w:spacing w:line="276" w:lineRule="auto"/>
              <w:rPr>
                <w:rFonts w:ascii="Arial" w:eastAsia="Calibri" w:hAnsi="Arial" w:cs="Arial"/>
                <w:color w:val="000000"/>
                <w:sz w:val="20"/>
                <w:szCs w:val="20"/>
                <w:lang w:eastAsia="en-US"/>
              </w:rPr>
            </w:pPr>
            <w:r w:rsidRPr="003338E8">
              <w:rPr>
                <w:rFonts w:ascii="Arial" w:eastAsia="Calibri" w:hAnsi="Arial" w:cs="Arial"/>
                <w:color w:val="000000"/>
                <w:sz w:val="20"/>
                <w:szCs w:val="20"/>
                <w:lang w:eastAsia="en-US"/>
              </w:rPr>
              <w:t>554</w:t>
            </w:r>
            <w:r w:rsidR="00C8147C">
              <w:rPr>
                <w:rFonts w:ascii="Arial" w:eastAsia="Calibri" w:hAnsi="Arial" w:cs="Arial"/>
                <w:color w:val="000000"/>
                <w:sz w:val="20"/>
                <w:szCs w:val="20"/>
                <w:lang w:eastAsia="en-US"/>
              </w:rPr>
              <w:t> </w:t>
            </w:r>
            <w:r>
              <w:rPr>
                <w:rFonts w:ascii="Arial" w:eastAsia="Calibri" w:hAnsi="Arial" w:cs="Arial"/>
                <w:color w:val="000000"/>
                <w:sz w:val="20"/>
                <w:szCs w:val="20"/>
                <w:lang w:eastAsia="en-US"/>
              </w:rPr>
              <w:t>2</w:t>
            </w:r>
            <w:r w:rsidRPr="003338E8">
              <w:rPr>
                <w:rFonts w:ascii="Arial" w:eastAsia="Calibri" w:hAnsi="Arial" w:cs="Arial"/>
                <w:color w:val="000000"/>
                <w:sz w:val="20"/>
                <w:szCs w:val="20"/>
                <w:lang w:eastAsia="en-US"/>
              </w:rPr>
              <w:t>01</w:t>
            </w:r>
            <w:r w:rsidR="00C8147C">
              <w:rPr>
                <w:rFonts w:ascii="Arial" w:eastAsia="Calibri" w:hAnsi="Arial" w:cs="Arial"/>
                <w:color w:val="000000"/>
                <w:sz w:val="20"/>
                <w:szCs w:val="20"/>
                <w:lang w:eastAsia="en-US"/>
              </w:rPr>
              <w:t xml:space="preserve"> </w:t>
            </w:r>
            <w:r w:rsidRPr="003338E8">
              <w:rPr>
                <w:rFonts w:ascii="Arial" w:eastAsia="Calibri" w:hAnsi="Arial" w:cs="Arial"/>
                <w:color w:val="000000"/>
                <w:sz w:val="20"/>
                <w:szCs w:val="20"/>
                <w:lang w:eastAsia="en-US"/>
              </w:rPr>
              <w:t>- Rekonstruovaná či modernizovaná kapacita podpořených zařízení pobytových sociálních služeb</w:t>
            </w:r>
          </w:p>
        </w:tc>
        <w:tc>
          <w:tcPr>
            <w:tcW w:w="1519" w:type="dxa"/>
            <w:tcBorders>
              <w:top w:val="single" w:sz="8" w:space="0" w:color="auto"/>
              <w:left w:val="single" w:sz="4" w:space="0" w:color="auto"/>
              <w:bottom w:val="single" w:sz="8" w:space="0" w:color="auto"/>
              <w:right w:val="single" w:sz="8" w:space="0" w:color="auto"/>
            </w:tcBorders>
            <w:vAlign w:val="center"/>
          </w:tcPr>
          <w:p w14:paraId="778A7D1C" w14:textId="464527E8"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r w:rsidR="003338E8" w:rsidRPr="003338E8" w14:paraId="704EA177" w14:textId="77777777" w:rsidTr="003338E8">
        <w:trPr>
          <w:trHeight w:val="832"/>
        </w:trPr>
        <w:tc>
          <w:tcPr>
            <w:tcW w:w="0" w:type="auto"/>
            <w:vMerge/>
            <w:tcBorders>
              <w:top w:val="single" w:sz="8" w:space="0" w:color="auto"/>
              <w:left w:val="single" w:sz="4" w:space="0" w:color="auto"/>
              <w:bottom w:val="single" w:sz="4" w:space="0" w:color="000000"/>
              <w:right w:val="single" w:sz="4" w:space="0" w:color="auto"/>
            </w:tcBorders>
            <w:vAlign w:val="center"/>
            <w:hideMark/>
          </w:tcPr>
          <w:p w14:paraId="5E9EFE14" w14:textId="77777777" w:rsidR="003338E8" w:rsidRPr="003338E8" w:rsidRDefault="003338E8" w:rsidP="003338E8">
            <w:pPr>
              <w:spacing w:line="276" w:lineRule="auto"/>
              <w:rPr>
                <w:rFonts w:ascii="Arial" w:hAnsi="Arial" w:cs="Arial"/>
                <w:b/>
                <w:bCs/>
                <w:color w:val="000000"/>
                <w:sz w:val="20"/>
                <w:szCs w:val="20"/>
                <w:lang w:eastAsia="en-US"/>
              </w:rPr>
            </w:pPr>
          </w:p>
        </w:tc>
        <w:tc>
          <w:tcPr>
            <w:tcW w:w="0" w:type="auto"/>
            <w:vMerge/>
            <w:tcBorders>
              <w:top w:val="single" w:sz="8" w:space="0" w:color="auto"/>
              <w:left w:val="nil"/>
              <w:bottom w:val="single" w:sz="4" w:space="0" w:color="auto"/>
              <w:right w:val="single" w:sz="4" w:space="0" w:color="auto"/>
            </w:tcBorders>
            <w:vAlign w:val="center"/>
            <w:hideMark/>
          </w:tcPr>
          <w:p w14:paraId="148620E8" w14:textId="77777777" w:rsidR="003338E8" w:rsidRPr="003338E8" w:rsidRDefault="003338E8" w:rsidP="003338E8">
            <w:pPr>
              <w:spacing w:line="276" w:lineRule="auto"/>
              <w:rPr>
                <w:rFonts w:ascii="Arial" w:hAnsi="Arial" w:cs="Arial"/>
                <w:color w:val="00000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91D60" w14:textId="77777777" w:rsidR="003338E8" w:rsidRPr="003274A4" w:rsidRDefault="003338E8" w:rsidP="003338E8">
            <w:pPr>
              <w:spacing w:line="276" w:lineRule="auto"/>
              <w:rPr>
                <w:rFonts w:ascii="Arial" w:hAnsi="Arial" w:cs="Arial"/>
                <w:i/>
                <w:iCs/>
                <w:color w:val="000000"/>
                <w:sz w:val="20"/>
                <w:szCs w:val="20"/>
                <w:highlight w:val="lightGray"/>
                <w:lang w:eastAsia="en-US"/>
              </w:rPr>
            </w:pPr>
            <w:r w:rsidRPr="003274A4">
              <w:rPr>
                <w:rFonts w:ascii="Arial" w:hAnsi="Arial" w:cs="Arial"/>
                <w:i/>
                <w:iCs/>
                <w:color w:val="000000"/>
                <w:sz w:val="20"/>
                <w:szCs w:val="20"/>
                <w:lang w:eastAsia="en-US"/>
              </w:rPr>
              <w:t>Indikátor je povinný k výběru pro projekty, které mají povinnost doložit PENB ke stavebnímu řízení podle zákona č. 406/2000 Sb., o hospodaření s energií, případně pro projekty, které si PENB nechaly zpracovat nad rámec zákona a jsou tak schopny úspory exaktně vykázat. Nerelevantní je pro projekty, jejichž předmětem je pouze nová výstavba.</w:t>
            </w:r>
          </w:p>
        </w:tc>
        <w:tc>
          <w:tcPr>
            <w:tcW w:w="4109" w:type="dxa"/>
            <w:tcBorders>
              <w:top w:val="single" w:sz="8" w:space="0" w:color="auto"/>
              <w:left w:val="nil"/>
              <w:bottom w:val="single" w:sz="8" w:space="0" w:color="auto"/>
              <w:right w:val="single" w:sz="4" w:space="0" w:color="auto"/>
            </w:tcBorders>
            <w:vAlign w:val="center"/>
            <w:hideMark/>
          </w:tcPr>
          <w:p w14:paraId="0AD8D574" w14:textId="77777777" w:rsidR="003338E8" w:rsidRPr="003338E8" w:rsidRDefault="003338E8" w:rsidP="003338E8">
            <w:pPr>
              <w:spacing w:line="276" w:lineRule="auto"/>
              <w:rPr>
                <w:rFonts w:ascii="Arial" w:eastAsia="Calibri" w:hAnsi="Arial" w:cs="Arial"/>
                <w:color w:val="000000"/>
                <w:sz w:val="20"/>
                <w:szCs w:val="20"/>
                <w:lang w:eastAsia="en-US"/>
              </w:rPr>
            </w:pPr>
            <w:r w:rsidRPr="003338E8">
              <w:rPr>
                <w:rFonts w:ascii="Arial" w:eastAsia="Calibri" w:hAnsi="Arial" w:cs="Arial"/>
                <w:color w:val="000000"/>
                <w:sz w:val="20"/>
                <w:szCs w:val="20"/>
                <w:lang w:eastAsia="en-US"/>
              </w:rPr>
              <w:t>323 000 - Snížení konečné spotřeby energie u podpořených subjektů</w:t>
            </w:r>
          </w:p>
        </w:tc>
        <w:tc>
          <w:tcPr>
            <w:tcW w:w="1519" w:type="dxa"/>
            <w:tcBorders>
              <w:top w:val="single" w:sz="8" w:space="0" w:color="auto"/>
              <w:left w:val="single" w:sz="4" w:space="0" w:color="auto"/>
              <w:bottom w:val="single" w:sz="8" w:space="0" w:color="auto"/>
              <w:right w:val="single" w:sz="8" w:space="0" w:color="auto"/>
            </w:tcBorders>
            <w:vAlign w:val="center"/>
            <w:hideMark/>
          </w:tcPr>
          <w:p w14:paraId="3B817412" w14:textId="77777777"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r w:rsidR="003338E8" w:rsidRPr="003338E8" w14:paraId="2503C12A" w14:textId="77777777" w:rsidTr="00E97896">
        <w:trPr>
          <w:trHeight w:val="832"/>
        </w:trPr>
        <w:tc>
          <w:tcPr>
            <w:tcW w:w="0" w:type="auto"/>
            <w:vMerge/>
            <w:tcBorders>
              <w:top w:val="single" w:sz="8" w:space="0" w:color="auto"/>
              <w:left w:val="single" w:sz="4" w:space="0" w:color="auto"/>
              <w:bottom w:val="single" w:sz="4" w:space="0" w:color="000000"/>
              <w:right w:val="single" w:sz="4" w:space="0" w:color="auto"/>
            </w:tcBorders>
            <w:vAlign w:val="center"/>
          </w:tcPr>
          <w:p w14:paraId="34C09B53" w14:textId="77777777" w:rsidR="003338E8" w:rsidRPr="003338E8" w:rsidRDefault="003338E8" w:rsidP="003338E8">
            <w:pPr>
              <w:spacing w:line="276" w:lineRule="auto"/>
              <w:rPr>
                <w:rFonts w:ascii="Arial" w:hAnsi="Arial" w:cs="Arial"/>
                <w:b/>
                <w:bCs/>
                <w:color w:val="000000"/>
                <w:sz w:val="20"/>
                <w:szCs w:val="20"/>
                <w:lang w:eastAsia="en-US"/>
              </w:rPr>
            </w:pPr>
          </w:p>
        </w:tc>
        <w:tc>
          <w:tcPr>
            <w:tcW w:w="0" w:type="auto"/>
            <w:vMerge/>
            <w:tcBorders>
              <w:top w:val="single" w:sz="8" w:space="0" w:color="auto"/>
              <w:left w:val="nil"/>
              <w:bottom w:val="single" w:sz="4" w:space="0" w:color="auto"/>
              <w:right w:val="single" w:sz="4" w:space="0" w:color="auto"/>
            </w:tcBorders>
            <w:vAlign w:val="center"/>
          </w:tcPr>
          <w:p w14:paraId="5C138A9B" w14:textId="77777777" w:rsidR="003338E8" w:rsidRPr="003338E8" w:rsidRDefault="003338E8" w:rsidP="003338E8">
            <w:pPr>
              <w:spacing w:line="276" w:lineRule="auto"/>
              <w:rPr>
                <w:rFonts w:ascii="Arial" w:hAnsi="Arial" w:cs="Arial"/>
                <w:color w:val="00000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74B932C6" w14:textId="120D2C3C" w:rsidR="003338E8" w:rsidRPr="003274A4" w:rsidRDefault="003338E8" w:rsidP="003338E8">
            <w:pPr>
              <w:spacing w:line="276" w:lineRule="auto"/>
              <w:rPr>
                <w:rFonts w:ascii="Arial" w:hAnsi="Arial" w:cs="Arial"/>
                <w:i/>
                <w:iCs/>
                <w:color w:val="000000"/>
                <w:sz w:val="20"/>
                <w:szCs w:val="20"/>
                <w:lang w:eastAsia="en-US"/>
              </w:rPr>
            </w:pPr>
            <w:r w:rsidRPr="003274A4">
              <w:rPr>
                <w:rFonts w:ascii="Arial" w:hAnsi="Arial" w:cs="Arial"/>
                <w:i/>
                <w:iCs/>
                <w:color w:val="000000"/>
                <w:sz w:val="20"/>
                <w:szCs w:val="20"/>
                <w:lang w:eastAsia="en-US"/>
              </w:rPr>
              <w:t>Ano</w:t>
            </w:r>
          </w:p>
        </w:tc>
        <w:tc>
          <w:tcPr>
            <w:tcW w:w="4109" w:type="dxa"/>
            <w:tcBorders>
              <w:top w:val="single" w:sz="8" w:space="0" w:color="auto"/>
              <w:left w:val="nil"/>
              <w:bottom w:val="single" w:sz="4" w:space="0" w:color="auto"/>
              <w:right w:val="single" w:sz="4" w:space="0" w:color="auto"/>
            </w:tcBorders>
            <w:vAlign w:val="center"/>
          </w:tcPr>
          <w:p w14:paraId="7FDDC74B" w14:textId="4CBE4412" w:rsidR="003338E8" w:rsidRPr="003338E8" w:rsidRDefault="00C155D7" w:rsidP="003338E8">
            <w:pPr>
              <w:spacing w:line="276" w:lineRule="auto"/>
              <w:rPr>
                <w:rFonts w:ascii="Arial" w:eastAsia="Calibri" w:hAnsi="Arial" w:cs="Arial"/>
                <w:color w:val="000000"/>
                <w:sz w:val="20"/>
                <w:szCs w:val="20"/>
                <w:lang w:eastAsia="en-US"/>
              </w:rPr>
            </w:pPr>
            <w:r w:rsidRPr="00FD5CAB">
              <w:rPr>
                <w:rFonts w:ascii="Arial" w:eastAsia="Calibri" w:hAnsi="Arial" w:cs="Arial"/>
                <w:sz w:val="20"/>
                <w:szCs w:val="20"/>
                <w:lang w:eastAsia="en-US"/>
              </w:rPr>
              <w:t>554 6</w:t>
            </w:r>
            <w:r w:rsidR="00FA2299">
              <w:rPr>
                <w:rFonts w:ascii="Arial" w:eastAsia="Calibri" w:hAnsi="Arial" w:cs="Arial"/>
                <w:sz w:val="20"/>
                <w:szCs w:val="20"/>
                <w:lang w:eastAsia="en-US"/>
              </w:rPr>
              <w:t>0</w:t>
            </w:r>
            <w:r w:rsidRPr="00FD5CAB">
              <w:rPr>
                <w:rFonts w:ascii="Arial" w:eastAsia="Calibri" w:hAnsi="Arial" w:cs="Arial"/>
                <w:sz w:val="20"/>
                <w:szCs w:val="20"/>
                <w:lang w:eastAsia="en-US"/>
              </w:rPr>
              <w:t>1</w:t>
            </w:r>
            <w:r w:rsidR="003338E8" w:rsidRPr="00FD5CAB">
              <w:rPr>
                <w:rFonts w:ascii="Arial" w:eastAsia="Calibri" w:hAnsi="Arial" w:cs="Arial"/>
                <w:sz w:val="20"/>
                <w:szCs w:val="20"/>
                <w:lang w:eastAsia="en-US"/>
              </w:rPr>
              <w:t xml:space="preserve"> - </w:t>
            </w:r>
            <w:r w:rsidR="00F73C1B" w:rsidRPr="00F73C1B">
              <w:rPr>
                <w:rFonts w:ascii="Arial" w:eastAsia="Calibri" w:hAnsi="Arial" w:cs="Arial"/>
                <w:color w:val="000000"/>
                <w:sz w:val="20"/>
                <w:szCs w:val="20"/>
                <w:lang w:eastAsia="en-US"/>
              </w:rPr>
              <w:t>Počet uživatelů nových nebo modernizovaných zařízení sociální péče za rok</w:t>
            </w:r>
          </w:p>
        </w:tc>
        <w:tc>
          <w:tcPr>
            <w:tcW w:w="1519" w:type="dxa"/>
            <w:tcBorders>
              <w:top w:val="single" w:sz="8" w:space="0" w:color="auto"/>
              <w:left w:val="single" w:sz="4" w:space="0" w:color="auto"/>
              <w:bottom w:val="single" w:sz="4" w:space="0" w:color="auto"/>
              <w:right w:val="single" w:sz="8" w:space="0" w:color="auto"/>
            </w:tcBorders>
            <w:vAlign w:val="center"/>
          </w:tcPr>
          <w:p w14:paraId="7A3381B4" w14:textId="659BF662"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bl>
    <w:p w14:paraId="71EA5D58" w14:textId="77777777" w:rsidR="0084772A" w:rsidRPr="0084772A" w:rsidRDefault="0084772A" w:rsidP="0084772A">
      <w:pPr>
        <w:spacing w:line="276" w:lineRule="auto"/>
        <w:jc w:val="both"/>
        <w:rPr>
          <w:rStyle w:val="Zdraznnintenzivn"/>
          <w:rFonts w:asciiTheme="majorHAnsi" w:eastAsiaTheme="minorHAnsi" w:hAnsiTheme="majorHAnsi" w:cstheme="minorHAnsi"/>
          <w:caps/>
          <w:color w:val="31849B" w:themeColor="accent5" w:themeShade="BF"/>
          <w:highlight w:val="yellow"/>
          <w:lang w:eastAsia="en-US"/>
        </w:rPr>
      </w:pPr>
    </w:p>
    <w:sectPr w:rsidR="0084772A" w:rsidRPr="0084772A" w:rsidSect="0084772A">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A8BF" w14:textId="77777777" w:rsidR="00B6258E" w:rsidRDefault="00B6258E" w:rsidP="00634381">
      <w:r>
        <w:separator/>
      </w:r>
    </w:p>
    <w:p w14:paraId="29B28B0B" w14:textId="77777777" w:rsidR="00B6258E" w:rsidRDefault="00B6258E"/>
  </w:endnote>
  <w:endnote w:type="continuationSeparator" w:id="0">
    <w:p w14:paraId="56B20517" w14:textId="77777777" w:rsidR="00B6258E" w:rsidRDefault="00B6258E" w:rsidP="00634381">
      <w:r>
        <w:continuationSeparator/>
      </w:r>
    </w:p>
    <w:p w14:paraId="067A1C4D" w14:textId="77777777" w:rsidR="00B6258E" w:rsidRDefault="00B6258E"/>
  </w:endnote>
  <w:endnote w:type="continuationNotice" w:id="1">
    <w:p w14:paraId="2A446C72" w14:textId="77777777" w:rsidR="00B6258E" w:rsidRDefault="00B62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198280"/>
      <w:docPartObj>
        <w:docPartGallery w:val="Page Numbers (Bottom of Page)"/>
        <w:docPartUnique/>
      </w:docPartObj>
    </w:sdtPr>
    <w:sdtEndPr>
      <w:rPr>
        <w:rFonts w:asciiTheme="minorHAnsi" w:hAnsiTheme="minorHAnsi" w:cstheme="minorHAnsi"/>
        <w:sz w:val="20"/>
        <w:szCs w:val="20"/>
      </w:rPr>
    </w:sdtEndPr>
    <w:sdtContent>
      <w:p w14:paraId="547E2A89" w14:textId="2DBA4E4F" w:rsidR="00857DA5" w:rsidRPr="00FE3BDE" w:rsidRDefault="00857DA5">
        <w:pPr>
          <w:pStyle w:val="Zpat"/>
          <w:jc w:val="center"/>
          <w:rPr>
            <w:rFonts w:asciiTheme="minorHAnsi" w:hAnsiTheme="minorHAnsi" w:cstheme="minorHAnsi"/>
            <w:sz w:val="20"/>
            <w:szCs w:val="20"/>
          </w:rPr>
        </w:pPr>
        <w:r w:rsidRPr="00FE3BDE">
          <w:rPr>
            <w:rFonts w:asciiTheme="minorHAnsi" w:hAnsiTheme="minorHAnsi" w:cstheme="minorHAnsi"/>
            <w:sz w:val="20"/>
            <w:szCs w:val="20"/>
          </w:rPr>
          <w:fldChar w:fldCharType="begin"/>
        </w:r>
        <w:r w:rsidRPr="00FE3BDE">
          <w:rPr>
            <w:rFonts w:asciiTheme="minorHAnsi" w:hAnsiTheme="minorHAnsi" w:cstheme="minorHAnsi"/>
            <w:sz w:val="20"/>
            <w:szCs w:val="20"/>
          </w:rPr>
          <w:instrText>PAGE   \* MERGEFORMAT</w:instrText>
        </w:r>
        <w:r w:rsidRPr="00FE3BDE">
          <w:rPr>
            <w:rFonts w:asciiTheme="minorHAnsi" w:hAnsiTheme="minorHAnsi" w:cstheme="minorHAnsi"/>
            <w:sz w:val="20"/>
            <w:szCs w:val="20"/>
          </w:rPr>
          <w:fldChar w:fldCharType="separate"/>
        </w:r>
        <w:r w:rsidR="00E00649">
          <w:rPr>
            <w:rFonts w:asciiTheme="minorHAnsi" w:hAnsiTheme="minorHAnsi" w:cstheme="minorHAnsi"/>
            <w:noProof/>
            <w:sz w:val="20"/>
            <w:szCs w:val="20"/>
          </w:rPr>
          <w:t>20</w:t>
        </w:r>
        <w:r w:rsidRPr="00FE3BDE">
          <w:rPr>
            <w:rFonts w:asciiTheme="minorHAnsi" w:hAnsiTheme="minorHAnsi" w:cstheme="minorHAnsi"/>
            <w:sz w:val="20"/>
            <w:szCs w:val="20"/>
          </w:rPr>
          <w:fldChar w:fldCharType="end"/>
        </w:r>
      </w:p>
    </w:sdtContent>
  </w:sdt>
  <w:p w14:paraId="61036CC4" w14:textId="77777777" w:rsidR="00857DA5" w:rsidRDefault="00857D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687D" w14:textId="77777777" w:rsidR="00B6258E" w:rsidRDefault="00B6258E">
      <w:r>
        <w:separator/>
      </w:r>
    </w:p>
  </w:footnote>
  <w:footnote w:type="continuationSeparator" w:id="0">
    <w:p w14:paraId="2B1EED87" w14:textId="77777777" w:rsidR="00B6258E" w:rsidRDefault="00B6258E" w:rsidP="00634381">
      <w:r>
        <w:continuationSeparator/>
      </w:r>
    </w:p>
    <w:p w14:paraId="5C8B1468" w14:textId="77777777" w:rsidR="00B6258E" w:rsidRDefault="00B6258E"/>
  </w:footnote>
  <w:footnote w:type="continuationNotice" w:id="1">
    <w:p w14:paraId="7014CA7E" w14:textId="77777777" w:rsidR="00B6258E" w:rsidRDefault="00B6258E"/>
  </w:footnote>
  <w:footnote w:id="2">
    <w:p w14:paraId="33824CED" w14:textId="77777777" w:rsidR="00857DA5" w:rsidRPr="0065357C" w:rsidRDefault="00857DA5" w:rsidP="00906B27">
      <w:pPr>
        <w:pStyle w:val="Textpoznpodarou"/>
        <w:rPr>
          <w:rFonts w:ascii="Arial" w:hAnsi="Arial" w:cs="Arial"/>
          <w:sz w:val="18"/>
          <w:szCs w:val="18"/>
        </w:rPr>
      </w:pPr>
      <w:r w:rsidRPr="0065357C">
        <w:rPr>
          <w:rStyle w:val="Znakapoznpodarou"/>
          <w:rFonts w:ascii="Arial" w:hAnsi="Arial" w:cs="Arial"/>
          <w:sz w:val="18"/>
          <w:szCs w:val="18"/>
        </w:rPr>
        <w:footnoteRef/>
      </w:r>
      <w:r w:rsidRPr="0065357C">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3">
    <w:p w14:paraId="56F33CEF" w14:textId="77777777" w:rsidR="00857DA5" w:rsidRDefault="00857DA5" w:rsidP="00906B27">
      <w:pPr>
        <w:pStyle w:val="Textpoznpodarou"/>
      </w:pPr>
      <w:r w:rsidRPr="00D91F67">
        <w:rPr>
          <w:rStyle w:val="Znakapoznpodarou"/>
          <w:rFonts w:ascii="Arial" w:hAnsi="Arial" w:cs="Arial"/>
          <w:sz w:val="18"/>
          <w:szCs w:val="18"/>
        </w:rPr>
        <w:footnoteRef/>
      </w:r>
      <w:r w:rsidRPr="00D91F67">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r w:rsidRPr="008E4F0B">
        <w:t>.</w:t>
      </w:r>
    </w:p>
  </w:footnote>
  <w:footnote w:id="4">
    <w:p w14:paraId="6CB11F7E" w14:textId="77777777" w:rsidR="00857DA5" w:rsidRPr="00D91F67" w:rsidRDefault="00857DA5" w:rsidP="00FF4299">
      <w:pPr>
        <w:pStyle w:val="Textpoznpodarou"/>
        <w:rPr>
          <w:rFonts w:ascii="Arial" w:hAnsi="Arial" w:cs="Arial"/>
          <w:sz w:val="18"/>
          <w:szCs w:val="18"/>
        </w:rPr>
      </w:pPr>
      <w:r w:rsidRPr="00D91F67">
        <w:rPr>
          <w:rStyle w:val="Znakapoznpodarou"/>
          <w:rFonts w:ascii="Arial" w:hAnsi="Arial" w:cs="Arial"/>
          <w:sz w:val="18"/>
          <w:szCs w:val="18"/>
        </w:rPr>
        <w:footnoteRef/>
      </w:r>
      <w:r w:rsidRPr="00D91F67">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5">
    <w:p w14:paraId="75D1FDEF" w14:textId="77777777" w:rsidR="00857DA5" w:rsidRPr="003274A4" w:rsidRDefault="00857DA5" w:rsidP="00486775">
      <w:pPr>
        <w:pStyle w:val="Textpoznpodarou"/>
        <w:rPr>
          <w:rFonts w:ascii="Arial" w:hAnsi="Arial" w:cs="Arial"/>
          <w:sz w:val="18"/>
          <w:szCs w:val="18"/>
        </w:rPr>
      </w:pPr>
      <w:r w:rsidRPr="003274A4">
        <w:rPr>
          <w:rStyle w:val="Znakapoznpodarou"/>
          <w:rFonts w:ascii="Arial" w:hAnsi="Arial" w:cs="Arial"/>
          <w:sz w:val="18"/>
          <w:szCs w:val="18"/>
        </w:rPr>
        <w:footnoteRef/>
      </w:r>
      <w:r w:rsidRPr="003274A4">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6">
    <w:p w14:paraId="06E543F5" w14:textId="77777777" w:rsidR="00151065" w:rsidRPr="00E61832" w:rsidRDefault="00151065" w:rsidP="00151065">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7">
    <w:p w14:paraId="0D405489" w14:textId="162F17F9" w:rsidR="00857DA5" w:rsidRPr="00FD5CAB" w:rsidRDefault="00857DA5" w:rsidP="00FD5CAB">
      <w:pPr>
        <w:pStyle w:val="Textpoznpodarou"/>
        <w:jc w:val="both"/>
        <w:rPr>
          <w:rFonts w:ascii="Arial" w:hAnsi="Arial" w:cs="Arial"/>
          <w:sz w:val="18"/>
          <w:szCs w:val="18"/>
        </w:rPr>
      </w:pPr>
      <w:r w:rsidRPr="00FD5CAB">
        <w:rPr>
          <w:rStyle w:val="Znakapoznpodarou"/>
          <w:rFonts w:ascii="Arial" w:hAnsi="Arial" w:cs="Arial"/>
          <w:sz w:val="18"/>
          <w:szCs w:val="18"/>
        </w:rPr>
        <w:footnoteRef/>
      </w:r>
      <w:r w:rsidRPr="00FD5CAB">
        <w:rPr>
          <w:rFonts w:ascii="Arial" w:hAnsi="Arial" w:cs="Arial"/>
          <w:sz w:val="18"/>
          <w:szCs w:val="18"/>
        </w:rPr>
        <w:t xml:space="preserve"> Slovo pacient použité v definici indikátoru vychází z anglického překladu indikátoru, jehož tvůrce nejspíše vycházel z prostředí Západní Evropy, kde se sociální a zdravotní služby úzce prolínají. Pro české prostředí je přesnější toto interpretovat ve smyslu osob</w:t>
      </w:r>
      <w:r w:rsidR="00FD5CAB">
        <w:rPr>
          <w:rFonts w:ascii="Arial" w:hAnsi="Arial" w:cs="Arial"/>
          <w:sz w:val="18"/>
          <w:szCs w:val="18"/>
        </w:rPr>
        <w:t>y</w:t>
      </w:r>
      <w:r w:rsidRPr="00FD5CAB">
        <w:rPr>
          <w:rFonts w:ascii="Arial" w:hAnsi="Arial" w:cs="Arial"/>
          <w:sz w:val="18"/>
          <w:szCs w:val="18"/>
        </w:rPr>
        <w:t xml:space="preserve"> či uživatel</w:t>
      </w:r>
      <w:r w:rsidR="00FD5CAB">
        <w:rPr>
          <w:rFonts w:ascii="Arial" w:hAnsi="Arial" w:cs="Arial"/>
          <w:sz w:val="18"/>
          <w:szCs w:val="18"/>
        </w:rPr>
        <w:t>e</w:t>
      </w:r>
      <w:r w:rsidRPr="00FD5CAB">
        <w:rPr>
          <w:rFonts w:ascii="Arial" w:hAnsi="Arial" w:cs="Arial"/>
          <w:sz w:val="18"/>
          <w:szCs w:val="18"/>
        </w:rPr>
        <w:t>.</w:t>
      </w:r>
    </w:p>
  </w:footnote>
  <w:footnote w:id="8">
    <w:p w14:paraId="3820392E" w14:textId="77777777" w:rsidR="00857DA5" w:rsidRPr="00690293" w:rsidRDefault="00857DA5" w:rsidP="00FD5CAB">
      <w:pPr>
        <w:pStyle w:val="Textpoznpodarou"/>
        <w:jc w:val="both"/>
        <w:rPr>
          <w:rFonts w:ascii="Arial" w:hAnsi="Arial" w:cs="Arial"/>
          <w:sz w:val="18"/>
          <w:szCs w:val="18"/>
        </w:rPr>
      </w:pPr>
      <w:r w:rsidRPr="00FD5CAB">
        <w:rPr>
          <w:rStyle w:val="Znakapoznpodarou"/>
          <w:rFonts w:ascii="Arial" w:hAnsi="Arial" w:cs="Arial"/>
          <w:sz w:val="18"/>
          <w:szCs w:val="18"/>
        </w:rPr>
        <w:footnoteRef/>
      </w:r>
      <w:r w:rsidRPr="00FD5CAB">
        <w:rPr>
          <w:rFonts w:ascii="Arial" w:hAnsi="Arial" w:cs="Arial"/>
          <w:sz w:val="18"/>
          <w:szCs w:val="18"/>
        </w:rPr>
        <w:t xml:space="preserve"> V případě indikátorů naplňovaných za časové období 12 měsíců (např. osoby/rok), je jejich plnění hodnoceno poměrně k výši a délce neplnění v daném časovém období.</w:t>
      </w:r>
      <w:r w:rsidRPr="00690293">
        <w:rPr>
          <w:rFonts w:ascii="Arial" w:hAnsi="Arial" w:cs="Arial"/>
          <w:sz w:val="18"/>
          <w:szCs w:val="18"/>
        </w:rPr>
        <w:t xml:space="preserve"> </w:t>
      </w:r>
    </w:p>
  </w:footnote>
  <w:footnote w:id="9">
    <w:p w14:paraId="473E6AB5" w14:textId="77777777" w:rsidR="00857DA5" w:rsidRPr="003274A4" w:rsidRDefault="00857DA5" w:rsidP="0018597B">
      <w:pPr>
        <w:pStyle w:val="Textpoznpodarou"/>
        <w:rPr>
          <w:rFonts w:ascii="Arial" w:hAnsi="Arial" w:cs="Arial"/>
          <w:sz w:val="18"/>
          <w:szCs w:val="18"/>
        </w:rPr>
      </w:pPr>
      <w:r w:rsidRPr="003274A4">
        <w:rPr>
          <w:rStyle w:val="Znakapoznpodarou"/>
          <w:rFonts w:ascii="Arial" w:hAnsi="Arial" w:cs="Arial"/>
          <w:sz w:val="18"/>
          <w:szCs w:val="18"/>
        </w:rPr>
        <w:footnoteRef/>
      </w:r>
      <w:r w:rsidRPr="003274A4">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35D3" w14:textId="77777777" w:rsidR="00857DA5" w:rsidRDefault="00857DA5" w:rsidP="00E97896">
    <w:pPr>
      <w:pStyle w:val="Zhlav"/>
      <w:jc w:val="center"/>
    </w:pPr>
  </w:p>
  <w:p w14:paraId="3B8FCE2C" w14:textId="77777777" w:rsidR="00857DA5" w:rsidRDefault="00857D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A268" w14:textId="77777777" w:rsidR="00857DA5" w:rsidRDefault="00857DA5" w:rsidP="00E97896">
    <w:pPr>
      <w:pStyle w:val="Zhlav"/>
      <w:jc w:val="center"/>
    </w:pPr>
    <w:r>
      <w:rPr>
        <w:noProof/>
      </w:rPr>
      <w:drawing>
        <wp:inline distT="0" distB="0" distL="0" distR="0" wp14:anchorId="3C67B055" wp14:editId="70E47542">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492A" w14:textId="67FC7DA4" w:rsidR="00857DA5" w:rsidRDefault="00857DA5" w:rsidP="00C0286A">
    <w:pPr>
      <w:pStyle w:val="Zhlav"/>
      <w:jc w:val="center"/>
    </w:pPr>
  </w:p>
  <w:p w14:paraId="6DEB9AF5" w14:textId="77777777" w:rsidR="00857DA5" w:rsidRDefault="00857D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C508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A27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6353A"/>
    <w:multiLevelType w:val="hybridMultilevel"/>
    <w:tmpl w:val="DF48704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8C3EC5"/>
    <w:multiLevelType w:val="hybridMultilevel"/>
    <w:tmpl w:val="A5B23C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2F4A2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8205A5"/>
    <w:multiLevelType w:val="hybridMultilevel"/>
    <w:tmpl w:val="94E49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805D9C"/>
    <w:multiLevelType w:val="hybridMultilevel"/>
    <w:tmpl w:val="06CAF69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8"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F34710"/>
    <w:multiLevelType w:val="hybridMultilevel"/>
    <w:tmpl w:val="D9BEC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4A1B2A"/>
    <w:multiLevelType w:val="hybridMultilevel"/>
    <w:tmpl w:val="A66C1AB8"/>
    <w:lvl w:ilvl="0" w:tplc="04050001">
      <w:start w:val="1"/>
      <w:numFmt w:val="bullet"/>
      <w:lvlText w:val=""/>
      <w:lvlJc w:val="left"/>
      <w:pPr>
        <w:ind w:left="451" w:hanging="360"/>
      </w:pPr>
      <w:rPr>
        <w:rFonts w:ascii="Symbol" w:hAnsi="Symbol" w:hint="default"/>
      </w:rPr>
    </w:lvl>
    <w:lvl w:ilvl="1" w:tplc="04050019">
      <w:start w:val="1"/>
      <w:numFmt w:val="lowerLetter"/>
      <w:lvlText w:val="%2."/>
      <w:lvlJc w:val="left"/>
      <w:pPr>
        <w:ind w:left="1171" w:hanging="360"/>
      </w:pPr>
    </w:lvl>
    <w:lvl w:ilvl="2" w:tplc="0405001B" w:tentative="1">
      <w:start w:val="1"/>
      <w:numFmt w:val="lowerRoman"/>
      <w:lvlText w:val="%3."/>
      <w:lvlJc w:val="right"/>
      <w:pPr>
        <w:ind w:left="1891" w:hanging="180"/>
      </w:pPr>
    </w:lvl>
    <w:lvl w:ilvl="3" w:tplc="0405000F" w:tentative="1">
      <w:start w:val="1"/>
      <w:numFmt w:val="decimal"/>
      <w:lvlText w:val="%4."/>
      <w:lvlJc w:val="left"/>
      <w:pPr>
        <w:ind w:left="2611" w:hanging="360"/>
      </w:pPr>
    </w:lvl>
    <w:lvl w:ilvl="4" w:tplc="04050019" w:tentative="1">
      <w:start w:val="1"/>
      <w:numFmt w:val="lowerLetter"/>
      <w:lvlText w:val="%5."/>
      <w:lvlJc w:val="left"/>
      <w:pPr>
        <w:ind w:left="3331" w:hanging="360"/>
      </w:pPr>
    </w:lvl>
    <w:lvl w:ilvl="5" w:tplc="0405001B" w:tentative="1">
      <w:start w:val="1"/>
      <w:numFmt w:val="lowerRoman"/>
      <w:lvlText w:val="%6."/>
      <w:lvlJc w:val="right"/>
      <w:pPr>
        <w:ind w:left="4051" w:hanging="180"/>
      </w:pPr>
    </w:lvl>
    <w:lvl w:ilvl="6" w:tplc="0405000F" w:tentative="1">
      <w:start w:val="1"/>
      <w:numFmt w:val="decimal"/>
      <w:lvlText w:val="%7."/>
      <w:lvlJc w:val="left"/>
      <w:pPr>
        <w:ind w:left="4771" w:hanging="360"/>
      </w:pPr>
    </w:lvl>
    <w:lvl w:ilvl="7" w:tplc="04050019" w:tentative="1">
      <w:start w:val="1"/>
      <w:numFmt w:val="lowerLetter"/>
      <w:lvlText w:val="%8."/>
      <w:lvlJc w:val="left"/>
      <w:pPr>
        <w:ind w:left="5491" w:hanging="360"/>
      </w:pPr>
    </w:lvl>
    <w:lvl w:ilvl="8" w:tplc="0405001B" w:tentative="1">
      <w:start w:val="1"/>
      <w:numFmt w:val="lowerRoman"/>
      <w:lvlText w:val="%9."/>
      <w:lvlJc w:val="right"/>
      <w:pPr>
        <w:ind w:left="6211" w:hanging="180"/>
      </w:pPr>
    </w:lvl>
  </w:abstractNum>
  <w:abstractNum w:abstractNumId="21" w15:restartNumberingAfterBreak="0">
    <w:nsid w:val="389A337D"/>
    <w:multiLevelType w:val="hybridMultilevel"/>
    <w:tmpl w:val="F06CE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EC36CB"/>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560E35"/>
    <w:multiLevelType w:val="hybridMultilevel"/>
    <w:tmpl w:val="7E9CB8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F9065A"/>
    <w:multiLevelType w:val="hybridMultilevel"/>
    <w:tmpl w:val="34703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D104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4D2873"/>
    <w:multiLevelType w:val="hybridMultilevel"/>
    <w:tmpl w:val="DCFEA85E"/>
    <w:lvl w:ilvl="0" w:tplc="04050001">
      <w:start w:val="1"/>
      <w:numFmt w:val="bullet"/>
      <w:lvlText w:val=""/>
      <w:lvlJc w:val="left"/>
      <w:pPr>
        <w:ind w:left="1250" w:hanging="360"/>
      </w:pPr>
      <w:rPr>
        <w:rFonts w:ascii="Symbol" w:hAnsi="Symbol" w:hint="default"/>
      </w:rPr>
    </w:lvl>
    <w:lvl w:ilvl="1" w:tplc="04050003" w:tentative="1">
      <w:start w:val="1"/>
      <w:numFmt w:val="bullet"/>
      <w:lvlText w:val="o"/>
      <w:lvlJc w:val="left"/>
      <w:pPr>
        <w:ind w:left="1970" w:hanging="360"/>
      </w:pPr>
      <w:rPr>
        <w:rFonts w:ascii="Courier New" w:hAnsi="Courier New" w:cs="Courier New" w:hint="default"/>
      </w:rPr>
    </w:lvl>
    <w:lvl w:ilvl="2" w:tplc="04050005" w:tentative="1">
      <w:start w:val="1"/>
      <w:numFmt w:val="bullet"/>
      <w:lvlText w:val=""/>
      <w:lvlJc w:val="left"/>
      <w:pPr>
        <w:ind w:left="2690" w:hanging="360"/>
      </w:pPr>
      <w:rPr>
        <w:rFonts w:ascii="Wingdings" w:hAnsi="Wingdings" w:hint="default"/>
      </w:rPr>
    </w:lvl>
    <w:lvl w:ilvl="3" w:tplc="04050001" w:tentative="1">
      <w:start w:val="1"/>
      <w:numFmt w:val="bullet"/>
      <w:lvlText w:val=""/>
      <w:lvlJc w:val="left"/>
      <w:pPr>
        <w:ind w:left="3410" w:hanging="360"/>
      </w:pPr>
      <w:rPr>
        <w:rFonts w:ascii="Symbol" w:hAnsi="Symbol" w:hint="default"/>
      </w:rPr>
    </w:lvl>
    <w:lvl w:ilvl="4" w:tplc="04050003" w:tentative="1">
      <w:start w:val="1"/>
      <w:numFmt w:val="bullet"/>
      <w:lvlText w:val="o"/>
      <w:lvlJc w:val="left"/>
      <w:pPr>
        <w:ind w:left="4130" w:hanging="360"/>
      </w:pPr>
      <w:rPr>
        <w:rFonts w:ascii="Courier New" w:hAnsi="Courier New" w:cs="Courier New" w:hint="default"/>
      </w:rPr>
    </w:lvl>
    <w:lvl w:ilvl="5" w:tplc="04050005" w:tentative="1">
      <w:start w:val="1"/>
      <w:numFmt w:val="bullet"/>
      <w:lvlText w:val=""/>
      <w:lvlJc w:val="left"/>
      <w:pPr>
        <w:ind w:left="4850" w:hanging="360"/>
      </w:pPr>
      <w:rPr>
        <w:rFonts w:ascii="Wingdings" w:hAnsi="Wingdings" w:hint="default"/>
      </w:rPr>
    </w:lvl>
    <w:lvl w:ilvl="6" w:tplc="04050001" w:tentative="1">
      <w:start w:val="1"/>
      <w:numFmt w:val="bullet"/>
      <w:lvlText w:val=""/>
      <w:lvlJc w:val="left"/>
      <w:pPr>
        <w:ind w:left="5570" w:hanging="360"/>
      </w:pPr>
      <w:rPr>
        <w:rFonts w:ascii="Symbol" w:hAnsi="Symbol" w:hint="default"/>
      </w:rPr>
    </w:lvl>
    <w:lvl w:ilvl="7" w:tplc="04050003" w:tentative="1">
      <w:start w:val="1"/>
      <w:numFmt w:val="bullet"/>
      <w:lvlText w:val="o"/>
      <w:lvlJc w:val="left"/>
      <w:pPr>
        <w:ind w:left="6290" w:hanging="360"/>
      </w:pPr>
      <w:rPr>
        <w:rFonts w:ascii="Courier New" w:hAnsi="Courier New" w:cs="Courier New" w:hint="default"/>
      </w:rPr>
    </w:lvl>
    <w:lvl w:ilvl="8" w:tplc="04050005" w:tentative="1">
      <w:start w:val="1"/>
      <w:numFmt w:val="bullet"/>
      <w:lvlText w:val=""/>
      <w:lvlJc w:val="left"/>
      <w:pPr>
        <w:ind w:left="7010" w:hanging="360"/>
      </w:pPr>
      <w:rPr>
        <w:rFonts w:ascii="Wingdings" w:hAnsi="Wingdings" w:hint="default"/>
      </w:rPr>
    </w:lvl>
  </w:abstractNum>
  <w:abstractNum w:abstractNumId="28" w15:restartNumberingAfterBreak="0">
    <w:nsid w:val="434E4731"/>
    <w:multiLevelType w:val="hybridMultilevel"/>
    <w:tmpl w:val="EEA24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45B2A21"/>
    <w:multiLevelType w:val="hybridMultilevel"/>
    <w:tmpl w:val="CA106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DA4F61"/>
    <w:multiLevelType w:val="hybridMultilevel"/>
    <w:tmpl w:val="E19A4F7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32" w15:restartNumberingAfterBreak="0">
    <w:nsid w:val="4B8C784D"/>
    <w:multiLevelType w:val="hybridMultilevel"/>
    <w:tmpl w:val="CA2CB006"/>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E333F21"/>
    <w:multiLevelType w:val="hybridMultilevel"/>
    <w:tmpl w:val="1522287E"/>
    <w:lvl w:ilvl="0" w:tplc="AE240E90">
      <w:start w:val="1"/>
      <w:numFmt w:val="decimal"/>
      <w:lvlText w:val="%1)"/>
      <w:lvlJc w:val="left"/>
      <w:pPr>
        <w:ind w:left="530" w:hanging="360"/>
      </w:pPr>
      <w:rPr>
        <w:rFonts w:hint="default"/>
        <w:b w:val="0"/>
        <w:bCs w:val="0"/>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34"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06793"/>
    <w:multiLevelType w:val="hybridMultilevel"/>
    <w:tmpl w:val="D45C68AC"/>
    <w:lvl w:ilvl="0" w:tplc="04050017">
      <w:start w:val="1"/>
      <w:numFmt w:val="lowerLetter"/>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37"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FAF509F"/>
    <w:multiLevelType w:val="hybridMultilevel"/>
    <w:tmpl w:val="5DC828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42"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1FE5F1F"/>
    <w:multiLevelType w:val="hybridMultilevel"/>
    <w:tmpl w:val="E3002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6CA007F"/>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0067F3"/>
    <w:multiLevelType w:val="hybridMultilevel"/>
    <w:tmpl w:val="315026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CE23878"/>
    <w:multiLevelType w:val="hybridMultilevel"/>
    <w:tmpl w:val="24E6E634"/>
    <w:lvl w:ilvl="0" w:tplc="04050001">
      <w:start w:val="1"/>
      <w:numFmt w:val="bullet"/>
      <w:lvlText w:val=""/>
      <w:lvlJc w:val="left"/>
      <w:pPr>
        <w:ind w:left="951" w:hanging="360"/>
      </w:pPr>
      <w:rPr>
        <w:rFonts w:ascii="Symbol" w:hAnsi="Symbol" w:hint="default"/>
      </w:rPr>
    </w:lvl>
    <w:lvl w:ilvl="1" w:tplc="04050003" w:tentative="1">
      <w:start w:val="1"/>
      <w:numFmt w:val="bullet"/>
      <w:lvlText w:val="o"/>
      <w:lvlJc w:val="left"/>
      <w:pPr>
        <w:ind w:left="1671" w:hanging="360"/>
      </w:pPr>
      <w:rPr>
        <w:rFonts w:ascii="Courier New" w:hAnsi="Courier New" w:cs="Courier New" w:hint="default"/>
      </w:rPr>
    </w:lvl>
    <w:lvl w:ilvl="2" w:tplc="04050005" w:tentative="1">
      <w:start w:val="1"/>
      <w:numFmt w:val="bullet"/>
      <w:lvlText w:val=""/>
      <w:lvlJc w:val="left"/>
      <w:pPr>
        <w:ind w:left="2391" w:hanging="360"/>
      </w:pPr>
      <w:rPr>
        <w:rFonts w:ascii="Wingdings" w:hAnsi="Wingdings" w:hint="default"/>
      </w:rPr>
    </w:lvl>
    <w:lvl w:ilvl="3" w:tplc="04050001" w:tentative="1">
      <w:start w:val="1"/>
      <w:numFmt w:val="bullet"/>
      <w:lvlText w:val=""/>
      <w:lvlJc w:val="left"/>
      <w:pPr>
        <w:ind w:left="3111" w:hanging="360"/>
      </w:pPr>
      <w:rPr>
        <w:rFonts w:ascii="Symbol" w:hAnsi="Symbol" w:hint="default"/>
      </w:rPr>
    </w:lvl>
    <w:lvl w:ilvl="4" w:tplc="04050003" w:tentative="1">
      <w:start w:val="1"/>
      <w:numFmt w:val="bullet"/>
      <w:lvlText w:val="o"/>
      <w:lvlJc w:val="left"/>
      <w:pPr>
        <w:ind w:left="3831" w:hanging="360"/>
      </w:pPr>
      <w:rPr>
        <w:rFonts w:ascii="Courier New" w:hAnsi="Courier New" w:cs="Courier New" w:hint="default"/>
      </w:rPr>
    </w:lvl>
    <w:lvl w:ilvl="5" w:tplc="04050005" w:tentative="1">
      <w:start w:val="1"/>
      <w:numFmt w:val="bullet"/>
      <w:lvlText w:val=""/>
      <w:lvlJc w:val="left"/>
      <w:pPr>
        <w:ind w:left="4551" w:hanging="360"/>
      </w:pPr>
      <w:rPr>
        <w:rFonts w:ascii="Wingdings" w:hAnsi="Wingdings" w:hint="default"/>
      </w:rPr>
    </w:lvl>
    <w:lvl w:ilvl="6" w:tplc="04050001" w:tentative="1">
      <w:start w:val="1"/>
      <w:numFmt w:val="bullet"/>
      <w:lvlText w:val=""/>
      <w:lvlJc w:val="left"/>
      <w:pPr>
        <w:ind w:left="5271" w:hanging="360"/>
      </w:pPr>
      <w:rPr>
        <w:rFonts w:ascii="Symbol" w:hAnsi="Symbol" w:hint="default"/>
      </w:rPr>
    </w:lvl>
    <w:lvl w:ilvl="7" w:tplc="04050003" w:tentative="1">
      <w:start w:val="1"/>
      <w:numFmt w:val="bullet"/>
      <w:lvlText w:val="o"/>
      <w:lvlJc w:val="left"/>
      <w:pPr>
        <w:ind w:left="5991" w:hanging="360"/>
      </w:pPr>
      <w:rPr>
        <w:rFonts w:ascii="Courier New" w:hAnsi="Courier New" w:cs="Courier New" w:hint="default"/>
      </w:rPr>
    </w:lvl>
    <w:lvl w:ilvl="8" w:tplc="04050005" w:tentative="1">
      <w:start w:val="1"/>
      <w:numFmt w:val="bullet"/>
      <w:lvlText w:val=""/>
      <w:lvlJc w:val="left"/>
      <w:pPr>
        <w:ind w:left="6711" w:hanging="360"/>
      </w:pPr>
      <w:rPr>
        <w:rFonts w:ascii="Wingdings" w:hAnsi="Wingdings" w:hint="default"/>
      </w:rPr>
    </w:lvl>
  </w:abstractNum>
  <w:num w:numId="1">
    <w:abstractNumId w:val="13"/>
  </w:num>
  <w:num w:numId="2">
    <w:abstractNumId w:val="14"/>
  </w:num>
  <w:num w:numId="3">
    <w:abstractNumId w:val="18"/>
  </w:num>
  <w:num w:numId="4">
    <w:abstractNumId w:val="39"/>
  </w:num>
  <w:num w:numId="5">
    <w:abstractNumId w:val="7"/>
  </w:num>
  <w:num w:numId="6">
    <w:abstractNumId w:val="34"/>
  </w:num>
  <w:num w:numId="7">
    <w:abstractNumId w:val="9"/>
  </w:num>
  <w:num w:numId="8">
    <w:abstractNumId w:val="10"/>
  </w:num>
  <w:num w:numId="9">
    <w:abstractNumId w:val="24"/>
  </w:num>
  <w:num w:numId="10">
    <w:abstractNumId w:val="5"/>
  </w:num>
  <w:num w:numId="11">
    <w:abstractNumId w:val="41"/>
  </w:num>
  <w:num w:numId="12">
    <w:abstractNumId w:val="30"/>
  </w:num>
  <w:num w:numId="13">
    <w:abstractNumId w:val="9"/>
    <w:lvlOverride w:ilvl="0">
      <w:startOverride w:val="1"/>
    </w:lvlOverride>
  </w:num>
  <w:num w:numId="14">
    <w:abstractNumId w:val="35"/>
  </w:num>
  <w:num w:numId="15">
    <w:abstractNumId w:val="3"/>
  </w:num>
  <w:num w:numId="16">
    <w:abstractNumId w:val="16"/>
  </w:num>
  <w:num w:numId="17">
    <w:abstractNumId w:val="15"/>
  </w:num>
  <w:num w:numId="18">
    <w:abstractNumId w:val="42"/>
  </w:num>
  <w:num w:numId="19">
    <w:abstractNumId w:val="8"/>
  </w:num>
  <w:num w:numId="20">
    <w:abstractNumId w:val="38"/>
  </w:num>
  <w:num w:numId="21">
    <w:abstractNumId w:val="37"/>
  </w:num>
  <w:num w:numId="22">
    <w:abstractNumId w:val="6"/>
  </w:num>
  <w:num w:numId="23">
    <w:abstractNumId w:val="29"/>
  </w:num>
  <w:num w:numId="24">
    <w:abstractNumId w:val="32"/>
  </w:num>
  <w:num w:numId="25">
    <w:abstractNumId w:val="0"/>
  </w:num>
  <w:num w:numId="26">
    <w:abstractNumId w:val="17"/>
  </w:num>
  <w:num w:numId="27">
    <w:abstractNumId w:val="31"/>
  </w:num>
  <w:num w:numId="28">
    <w:abstractNumId w:val="36"/>
  </w:num>
  <w:num w:numId="29">
    <w:abstractNumId w:val="11"/>
  </w:num>
  <w:num w:numId="30">
    <w:abstractNumId w:val="22"/>
  </w:num>
  <w:num w:numId="31">
    <w:abstractNumId w:val="26"/>
  </w:num>
  <w:num w:numId="32">
    <w:abstractNumId w:val="1"/>
  </w:num>
  <w:num w:numId="33">
    <w:abstractNumId w:val="44"/>
  </w:num>
  <w:num w:numId="34">
    <w:abstractNumId w:val="28"/>
  </w:num>
  <w:num w:numId="35">
    <w:abstractNumId w:val="4"/>
  </w:num>
  <w:num w:numId="36">
    <w:abstractNumId w:val="20"/>
  </w:num>
  <w:num w:numId="37">
    <w:abstractNumId w:val="25"/>
  </w:num>
  <w:num w:numId="38">
    <w:abstractNumId w:val="33"/>
  </w:num>
  <w:num w:numId="39">
    <w:abstractNumId w:val="27"/>
  </w:num>
  <w:num w:numId="40">
    <w:abstractNumId w:val="21"/>
  </w:num>
  <w:num w:numId="41">
    <w:abstractNumId w:val="40"/>
  </w:num>
  <w:num w:numId="42">
    <w:abstractNumId w:val="19"/>
  </w:num>
  <w:num w:numId="43">
    <w:abstractNumId w:val="12"/>
  </w:num>
  <w:num w:numId="44">
    <w:abstractNumId w:val="23"/>
  </w:num>
  <w:num w:numId="45">
    <w:abstractNumId w:val="46"/>
  </w:num>
  <w:num w:numId="46">
    <w:abstractNumId w:val="2"/>
  </w:num>
  <w:num w:numId="47">
    <w:abstractNumId w:val="43"/>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2C46"/>
    <w:rsid w:val="0000606F"/>
    <w:rsid w:val="0000724B"/>
    <w:rsid w:val="000111F4"/>
    <w:rsid w:val="00014F63"/>
    <w:rsid w:val="000165A5"/>
    <w:rsid w:val="0002225F"/>
    <w:rsid w:val="0002373D"/>
    <w:rsid w:val="00023D99"/>
    <w:rsid w:val="00025EC3"/>
    <w:rsid w:val="00034331"/>
    <w:rsid w:val="00036401"/>
    <w:rsid w:val="000465C4"/>
    <w:rsid w:val="00053B39"/>
    <w:rsid w:val="00057399"/>
    <w:rsid w:val="000576DC"/>
    <w:rsid w:val="00057C7F"/>
    <w:rsid w:val="0007022E"/>
    <w:rsid w:val="00070FE9"/>
    <w:rsid w:val="000731C0"/>
    <w:rsid w:val="00076FFD"/>
    <w:rsid w:val="00082242"/>
    <w:rsid w:val="00082647"/>
    <w:rsid w:val="0009031E"/>
    <w:rsid w:val="00093BFD"/>
    <w:rsid w:val="00094A51"/>
    <w:rsid w:val="000975F3"/>
    <w:rsid w:val="000A2D4B"/>
    <w:rsid w:val="000A5632"/>
    <w:rsid w:val="000C6615"/>
    <w:rsid w:val="000C6DE6"/>
    <w:rsid w:val="000E4EF5"/>
    <w:rsid w:val="000F5EA5"/>
    <w:rsid w:val="000F75B7"/>
    <w:rsid w:val="00107F75"/>
    <w:rsid w:val="001144B0"/>
    <w:rsid w:val="0011494F"/>
    <w:rsid w:val="0012183B"/>
    <w:rsid w:val="00121B54"/>
    <w:rsid w:val="00122FE5"/>
    <w:rsid w:val="00124BB2"/>
    <w:rsid w:val="00131349"/>
    <w:rsid w:val="001362F3"/>
    <w:rsid w:val="00141C5B"/>
    <w:rsid w:val="001422D3"/>
    <w:rsid w:val="00143D29"/>
    <w:rsid w:val="001442A6"/>
    <w:rsid w:val="00145671"/>
    <w:rsid w:val="00146689"/>
    <w:rsid w:val="00151065"/>
    <w:rsid w:val="00151D2B"/>
    <w:rsid w:val="00155A3F"/>
    <w:rsid w:val="00155EEF"/>
    <w:rsid w:val="001563DA"/>
    <w:rsid w:val="00156C34"/>
    <w:rsid w:val="00160A30"/>
    <w:rsid w:val="001611B5"/>
    <w:rsid w:val="0016160A"/>
    <w:rsid w:val="00163139"/>
    <w:rsid w:val="001707EC"/>
    <w:rsid w:val="00171665"/>
    <w:rsid w:val="00171CE5"/>
    <w:rsid w:val="00172074"/>
    <w:rsid w:val="00174CA1"/>
    <w:rsid w:val="00176D90"/>
    <w:rsid w:val="00182442"/>
    <w:rsid w:val="00184DE7"/>
    <w:rsid w:val="0018597B"/>
    <w:rsid w:val="001947CD"/>
    <w:rsid w:val="001A6263"/>
    <w:rsid w:val="001B7798"/>
    <w:rsid w:val="001C14B7"/>
    <w:rsid w:val="001C1713"/>
    <w:rsid w:val="001C37DF"/>
    <w:rsid w:val="001C7076"/>
    <w:rsid w:val="001D3713"/>
    <w:rsid w:val="001D5B33"/>
    <w:rsid w:val="001D7EEC"/>
    <w:rsid w:val="001E0FF2"/>
    <w:rsid w:val="001E18AA"/>
    <w:rsid w:val="001E4842"/>
    <w:rsid w:val="001E60CB"/>
    <w:rsid w:val="001E69A7"/>
    <w:rsid w:val="001E7EF3"/>
    <w:rsid w:val="00200CF0"/>
    <w:rsid w:val="00204362"/>
    <w:rsid w:val="00204D9A"/>
    <w:rsid w:val="00204E05"/>
    <w:rsid w:val="00213431"/>
    <w:rsid w:val="00213558"/>
    <w:rsid w:val="00216921"/>
    <w:rsid w:val="0021750B"/>
    <w:rsid w:val="00221B02"/>
    <w:rsid w:val="002265AB"/>
    <w:rsid w:val="00230395"/>
    <w:rsid w:val="00231F50"/>
    <w:rsid w:val="00232A06"/>
    <w:rsid w:val="0024553F"/>
    <w:rsid w:val="00245592"/>
    <w:rsid w:val="0025243F"/>
    <w:rsid w:val="00255525"/>
    <w:rsid w:val="00263A97"/>
    <w:rsid w:val="00264BC9"/>
    <w:rsid w:val="002748BB"/>
    <w:rsid w:val="00274C37"/>
    <w:rsid w:val="0028633C"/>
    <w:rsid w:val="00286C01"/>
    <w:rsid w:val="00291A5A"/>
    <w:rsid w:val="00295FFC"/>
    <w:rsid w:val="002978F6"/>
    <w:rsid w:val="00297F42"/>
    <w:rsid w:val="002B2B54"/>
    <w:rsid w:val="002B3C33"/>
    <w:rsid w:val="002B5396"/>
    <w:rsid w:val="002B59B8"/>
    <w:rsid w:val="002B5F89"/>
    <w:rsid w:val="002B6138"/>
    <w:rsid w:val="002B616A"/>
    <w:rsid w:val="002C04B8"/>
    <w:rsid w:val="002C08F1"/>
    <w:rsid w:val="002C177C"/>
    <w:rsid w:val="002C26F9"/>
    <w:rsid w:val="002C384D"/>
    <w:rsid w:val="002C49BA"/>
    <w:rsid w:val="002D01C2"/>
    <w:rsid w:val="002D04D4"/>
    <w:rsid w:val="002D4AB2"/>
    <w:rsid w:val="002D69E2"/>
    <w:rsid w:val="00303C0B"/>
    <w:rsid w:val="00304473"/>
    <w:rsid w:val="003068DD"/>
    <w:rsid w:val="00320082"/>
    <w:rsid w:val="003229C3"/>
    <w:rsid w:val="00324CD8"/>
    <w:rsid w:val="003274A4"/>
    <w:rsid w:val="00331484"/>
    <w:rsid w:val="003317AB"/>
    <w:rsid w:val="003330FB"/>
    <w:rsid w:val="003338E8"/>
    <w:rsid w:val="003352F8"/>
    <w:rsid w:val="0033728D"/>
    <w:rsid w:val="0034252A"/>
    <w:rsid w:val="003462B5"/>
    <w:rsid w:val="00346985"/>
    <w:rsid w:val="00346D17"/>
    <w:rsid w:val="00363485"/>
    <w:rsid w:val="0036679B"/>
    <w:rsid w:val="003667B4"/>
    <w:rsid w:val="00371437"/>
    <w:rsid w:val="00373858"/>
    <w:rsid w:val="00374679"/>
    <w:rsid w:val="003802DE"/>
    <w:rsid w:val="0038324A"/>
    <w:rsid w:val="00391249"/>
    <w:rsid w:val="00393DAC"/>
    <w:rsid w:val="0039791E"/>
    <w:rsid w:val="003A2AC9"/>
    <w:rsid w:val="003A442E"/>
    <w:rsid w:val="003A775F"/>
    <w:rsid w:val="003A7A28"/>
    <w:rsid w:val="003B36CF"/>
    <w:rsid w:val="003B71A8"/>
    <w:rsid w:val="003C089B"/>
    <w:rsid w:val="003C17FC"/>
    <w:rsid w:val="003C28D6"/>
    <w:rsid w:val="003C5CC8"/>
    <w:rsid w:val="003D0206"/>
    <w:rsid w:val="003D249D"/>
    <w:rsid w:val="003E3EA1"/>
    <w:rsid w:val="003E621C"/>
    <w:rsid w:val="003E6C23"/>
    <w:rsid w:val="003F0409"/>
    <w:rsid w:val="003F5585"/>
    <w:rsid w:val="00401A27"/>
    <w:rsid w:val="0040551A"/>
    <w:rsid w:val="00411BE0"/>
    <w:rsid w:val="004207DC"/>
    <w:rsid w:val="00424C7B"/>
    <w:rsid w:val="00425BCA"/>
    <w:rsid w:val="00441B57"/>
    <w:rsid w:val="00442137"/>
    <w:rsid w:val="00445051"/>
    <w:rsid w:val="00451C39"/>
    <w:rsid w:val="004544C8"/>
    <w:rsid w:val="00457FE6"/>
    <w:rsid w:val="00460115"/>
    <w:rsid w:val="00461D6A"/>
    <w:rsid w:val="0047263A"/>
    <w:rsid w:val="00474F72"/>
    <w:rsid w:val="00475050"/>
    <w:rsid w:val="004771DA"/>
    <w:rsid w:val="00482EA1"/>
    <w:rsid w:val="00482F73"/>
    <w:rsid w:val="004849AE"/>
    <w:rsid w:val="00485348"/>
    <w:rsid w:val="00486452"/>
    <w:rsid w:val="00486640"/>
    <w:rsid w:val="00486775"/>
    <w:rsid w:val="00486EE4"/>
    <w:rsid w:val="004870EE"/>
    <w:rsid w:val="00487B28"/>
    <w:rsid w:val="0049190F"/>
    <w:rsid w:val="0049432D"/>
    <w:rsid w:val="0049668E"/>
    <w:rsid w:val="00496FD2"/>
    <w:rsid w:val="004A09F8"/>
    <w:rsid w:val="004A1556"/>
    <w:rsid w:val="004A323F"/>
    <w:rsid w:val="004A4512"/>
    <w:rsid w:val="004A4B69"/>
    <w:rsid w:val="004A769F"/>
    <w:rsid w:val="004B1AC3"/>
    <w:rsid w:val="004B3A19"/>
    <w:rsid w:val="004B4F6A"/>
    <w:rsid w:val="004C1F8F"/>
    <w:rsid w:val="004D1213"/>
    <w:rsid w:val="004D3056"/>
    <w:rsid w:val="004D3AE7"/>
    <w:rsid w:val="004E1B06"/>
    <w:rsid w:val="004F104D"/>
    <w:rsid w:val="00500BBF"/>
    <w:rsid w:val="00501F82"/>
    <w:rsid w:val="00502121"/>
    <w:rsid w:val="00502F57"/>
    <w:rsid w:val="005078EC"/>
    <w:rsid w:val="00507DEB"/>
    <w:rsid w:val="005211DB"/>
    <w:rsid w:val="00523238"/>
    <w:rsid w:val="005245D5"/>
    <w:rsid w:val="00526EDC"/>
    <w:rsid w:val="005273CA"/>
    <w:rsid w:val="005317D6"/>
    <w:rsid w:val="0053307F"/>
    <w:rsid w:val="00556F14"/>
    <w:rsid w:val="0056072C"/>
    <w:rsid w:val="005608C1"/>
    <w:rsid w:val="00565A39"/>
    <w:rsid w:val="0057229E"/>
    <w:rsid w:val="0057432E"/>
    <w:rsid w:val="00577774"/>
    <w:rsid w:val="00585341"/>
    <w:rsid w:val="00591C28"/>
    <w:rsid w:val="00594650"/>
    <w:rsid w:val="00596086"/>
    <w:rsid w:val="005A2BE8"/>
    <w:rsid w:val="005A4D94"/>
    <w:rsid w:val="005A59F6"/>
    <w:rsid w:val="005B0D50"/>
    <w:rsid w:val="005C040E"/>
    <w:rsid w:val="005C26C4"/>
    <w:rsid w:val="005C306F"/>
    <w:rsid w:val="005C3D0D"/>
    <w:rsid w:val="005C3E75"/>
    <w:rsid w:val="005C533A"/>
    <w:rsid w:val="005C71F1"/>
    <w:rsid w:val="005D2299"/>
    <w:rsid w:val="005D5738"/>
    <w:rsid w:val="005E25E6"/>
    <w:rsid w:val="005E5868"/>
    <w:rsid w:val="005E698F"/>
    <w:rsid w:val="005E7F63"/>
    <w:rsid w:val="005F3564"/>
    <w:rsid w:val="005F42FA"/>
    <w:rsid w:val="0060205B"/>
    <w:rsid w:val="00604375"/>
    <w:rsid w:val="006045C4"/>
    <w:rsid w:val="00606CB4"/>
    <w:rsid w:val="006141C3"/>
    <w:rsid w:val="00616113"/>
    <w:rsid w:val="006221F8"/>
    <w:rsid w:val="00622A75"/>
    <w:rsid w:val="00632B48"/>
    <w:rsid w:val="00634188"/>
    <w:rsid w:val="00634381"/>
    <w:rsid w:val="00641131"/>
    <w:rsid w:val="0064281D"/>
    <w:rsid w:val="00642FCC"/>
    <w:rsid w:val="0064640D"/>
    <w:rsid w:val="0064678E"/>
    <w:rsid w:val="006477F0"/>
    <w:rsid w:val="00651B4E"/>
    <w:rsid w:val="006532D6"/>
    <w:rsid w:val="0065357C"/>
    <w:rsid w:val="006571ED"/>
    <w:rsid w:val="006626CA"/>
    <w:rsid w:val="00663903"/>
    <w:rsid w:val="00665459"/>
    <w:rsid w:val="0067036F"/>
    <w:rsid w:val="006707C3"/>
    <w:rsid w:val="00674065"/>
    <w:rsid w:val="006762E0"/>
    <w:rsid w:val="0067736D"/>
    <w:rsid w:val="006803CD"/>
    <w:rsid w:val="00682E1F"/>
    <w:rsid w:val="00690293"/>
    <w:rsid w:val="0069066C"/>
    <w:rsid w:val="00696CF7"/>
    <w:rsid w:val="0069719B"/>
    <w:rsid w:val="006A4A02"/>
    <w:rsid w:val="006C4BDF"/>
    <w:rsid w:val="006D69C4"/>
    <w:rsid w:val="006E5C82"/>
    <w:rsid w:val="006E72F1"/>
    <w:rsid w:val="006F4B55"/>
    <w:rsid w:val="006F6BC2"/>
    <w:rsid w:val="00701019"/>
    <w:rsid w:val="00702E52"/>
    <w:rsid w:val="00705451"/>
    <w:rsid w:val="00711A96"/>
    <w:rsid w:val="00714EBA"/>
    <w:rsid w:val="00717987"/>
    <w:rsid w:val="00722201"/>
    <w:rsid w:val="00723481"/>
    <w:rsid w:val="00724B5B"/>
    <w:rsid w:val="0073208B"/>
    <w:rsid w:val="00733BEF"/>
    <w:rsid w:val="0074098A"/>
    <w:rsid w:val="00743395"/>
    <w:rsid w:val="00760009"/>
    <w:rsid w:val="00762BE8"/>
    <w:rsid w:val="0076431E"/>
    <w:rsid w:val="007712D6"/>
    <w:rsid w:val="0077797D"/>
    <w:rsid w:val="007852CE"/>
    <w:rsid w:val="0078659D"/>
    <w:rsid w:val="00793524"/>
    <w:rsid w:val="00797FE2"/>
    <w:rsid w:val="007A3276"/>
    <w:rsid w:val="007A77B8"/>
    <w:rsid w:val="007A7B31"/>
    <w:rsid w:val="007B3417"/>
    <w:rsid w:val="007C0AB0"/>
    <w:rsid w:val="007C0ABF"/>
    <w:rsid w:val="007D2223"/>
    <w:rsid w:val="007D44F0"/>
    <w:rsid w:val="007D5110"/>
    <w:rsid w:val="007D6374"/>
    <w:rsid w:val="007E0B08"/>
    <w:rsid w:val="007E1EA3"/>
    <w:rsid w:val="007E55BB"/>
    <w:rsid w:val="007F0494"/>
    <w:rsid w:val="007F4EB9"/>
    <w:rsid w:val="0080289A"/>
    <w:rsid w:val="00802D7B"/>
    <w:rsid w:val="0080523B"/>
    <w:rsid w:val="00820E4A"/>
    <w:rsid w:val="00822000"/>
    <w:rsid w:val="00824E66"/>
    <w:rsid w:val="00833BB4"/>
    <w:rsid w:val="0083531C"/>
    <w:rsid w:val="00841206"/>
    <w:rsid w:val="00844F3C"/>
    <w:rsid w:val="0084772A"/>
    <w:rsid w:val="008479AA"/>
    <w:rsid w:val="00855284"/>
    <w:rsid w:val="00857A72"/>
    <w:rsid w:val="00857DA5"/>
    <w:rsid w:val="008619E4"/>
    <w:rsid w:val="00863444"/>
    <w:rsid w:val="0087002A"/>
    <w:rsid w:val="00874C5E"/>
    <w:rsid w:val="00876E20"/>
    <w:rsid w:val="00884661"/>
    <w:rsid w:val="00884724"/>
    <w:rsid w:val="00886357"/>
    <w:rsid w:val="00891FE3"/>
    <w:rsid w:val="00895CD7"/>
    <w:rsid w:val="008A0BAD"/>
    <w:rsid w:val="008A2193"/>
    <w:rsid w:val="008A2939"/>
    <w:rsid w:val="008A5F96"/>
    <w:rsid w:val="008A6A9C"/>
    <w:rsid w:val="008B10C8"/>
    <w:rsid w:val="008B278F"/>
    <w:rsid w:val="008C28F3"/>
    <w:rsid w:val="008C6A89"/>
    <w:rsid w:val="008C7931"/>
    <w:rsid w:val="008C7F76"/>
    <w:rsid w:val="008D2FC2"/>
    <w:rsid w:val="008D3E30"/>
    <w:rsid w:val="008E0493"/>
    <w:rsid w:val="008E260A"/>
    <w:rsid w:val="008E4F0B"/>
    <w:rsid w:val="008F041B"/>
    <w:rsid w:val="008F2960"/>
    <w:rsid w:val="008F6F06"/>
    <w:rsid w:val="00900282"/>
    <w:rsid w:val="00900F86"/>
    <w:rsid w:val="009053E6"/>
    <w:rsid w:val="00906B27"/>
    <w:rsid w:val="009115B3"/>
    <w:rsid w:val="00932786"/>
    <w:rsid w:val="00932BDA"/>
    <w:rsid w:val="009343D5"/>
    <w:rsid w:val="00934A6E"/>
    <w:rsid w:val="00937D06"/>
    <w:rsid w:val="0094544E"/>
    <w:rsid w:val="00952FC0"/>
    <w:rsid w:val="00957067"/>
    <w:rsid w:val="00960683"/>
    <w:rsid w:val="009640E8"/>
    <w:rsid w:val="00972B2B"/>
    <w:rsid w:val="00991CCA"/>
    <w:rsid w:val="009931A3"/>
    <w:rsid w:val="009954D4"/>
    <w:rsid w:val="009A08B2"/>
    <w:rsid w:val="009A4CBD"/>
    <w:rsid w:val="009A761A"/>
    <w:rsid w:val="009B03B4"/>
    <w:rsid w:val="009B083D"/>
    <w:rsid w:val="009B15A5"/>
    <w:rsid w:val="009B2561"/>
    <w:rsid w:val="009B3D56"/>
    <w:rsid w:val="009C0A2F"/>
    <w:rsid w:val="009C51B5"/>
    <w:rsid w:val="009D5E0D"/>
    <w:rsid w:val="009D6486"/>
    <w:rsid w:val="009E0B15"/>
    <w:rsid w:val="009E0B88"/>
    <w:rsid w:val="009E41E7"/>
    <w:rsid w:val="009E4F57"/>
    <w:rsid w:val="009F1662"/>
    <w:rsid w:val="00A06D8D"/>
    <w:rsid w:val="00A16700"/>
    <w:rsid w:val="00A24831"/>
    <w:rsid w:val="00A27628"/>
    <w:rsid w:val="00A44845"/>
    <w:rsid w:val="00A46E6E"/>
    <w:rsid w:val="00A47FEE"/>
    <w:rsid w:val="00A57339"/>
    <w:rsid w:val="00A57400"/>
    <w:rsid w:val="00A63715"/>
    <w:rsid w:val="00A646A0"/>
    <w:rsid w:val="00A66A09"/>
    <w:rsid w:val="00A6745F"/>
    <w:rsid w:val="00A67C37"/>
    <w:rsid w:val="00A67D7B"/>
    <w:rsid w:val="00A709ED"/>
    <w:rsid w:val="00A716D6"/>
    <w:rsid w:val="00A75D58"/>
    <w:rsid w:val="00A77546"/>
    <w:rsid w:val="00A77548"/>
    <w:rsid w:val="00A810F1"/>
    <w:rsid w:val="00A82D0E"/>
    <w:rsid w:val="00A83A55"/>
    <w:rsid w:val="00A87D82"/>
    <w:rsid w:val="00A92498"/>
    <w:rsid w:val="00A930DE"/>
    <w:rsid w:val="00A93401"/>
    <w:rsid w:val="00AA148C"/>
    <w:rsid w:val="00AA6E68"/>
    <w:rsid w:val="00AB0932"/>
    <w:rsid w:val="00AB1542"/>
    <w:rsid w:val="00AB623E"/>
    <w:rsid w:val="00AC1136"/>
    <w:rsid w:val="00AC4029"/>
    <w:rsid w:val="00AC5B2C"/>
    <w:rsid w:val="00AD1117"/>
    <w:rsid w:val="00AD6B07"/>
    <w:rsid w:val="00AF26C9"/>
    <w:rsid w:val="00AF34C4"/>
    <w:rsid w:val="00AF3D0A"/>
    <w:rsid w:val="00AF3E9B"/>
    <w:rsid w:val="00AF41FA"/>
    <w:rsid w:val="00AF61AF"/>
    <w:rsid w:val="00B0285F"/>
    <w:rsid w:val="00B15417"/>
    <w:rsid w:val="00B159F5"/>
    <w:rsid w:val="00B16822"/>
    <w:rsid w:val="00B2017F"/>
    <w:rsid w:val="00B21006"/>
    <w:rsid w:val="00B21BB1"/>
    <w:rsid w:val="00B22E1C"/>
    <w:rsid w:val="00B27179"/>
    <w:rsid w:val="00B32019"/>
    <w:rsid w:val="00B323EF"/>
    <w:rsid w:val="00B32AB8"/>
    <w:rsid w:val="00B362EB"/>
    <w:rsid w:val="00B37C37"/>
    <w:rsid w:val="00B40D83"/>
    <w:rsid w:val="00B42FA1"/>
    <w:rsid w:val="00B50E78"/>
    <w:rsid w:val="00B5110C"/>
    <w:rsid w:val="00B531F3"/>
    <w:rsid w:val="00B55EB2"/>
    <w:rsid w:val="00B60355"/>
    <w:rsid w:val="00B61B03"/>
    <w:rsid w:val="00B6258E"/>
    <w:rsid w:val="00B62A78"/>
    <w:rsid w:val="00B70855"/>
    <w:rsid w:val="00B7197B"/>
    <w:rsid w:val="00B73DF1"/>
    <w:rsid w:val="00B80381"/>
    <w:rsid w:val="00B8276E"/>
    <w:rsid w:val="00B917CD"/>
    <w:rsid w:val="00B953E3"/>
    <w:rsid w:val="00BA431B"/>
    <w:rsid w:val="00BB19E5"/>
    <w:rsid w:val="00BB4843"/>
    <w:rsid w:val="00BB6098"/>
    <w:rsid w:val="00BC263F"/>
    <w:rsid w:val="00BC268B"/>
    <w:rsid w:val="00BC3C7A"/>
    <w:rsid w:val="00BC51C7"/>
    <w:rsid w:val="00BD2A03"/>
    <w:rsid w:val="00BD3346"/>
    <w:rsid w:val="00BE34D8"/>
    <w:rsid w:val="00BE79EB"/>
    <w:rsid w:val="00BF125A"/>
    <w:rsid w:val="00C0074F"/>
    <w:rsid w:val="00C0150B"/>
    <w:rsid w:val="00C01DC1"/>
    <w:rsid w:val="00C02146"/>
    <w:rsid w:val="00C0286A"/>
    <w:rsid w:val="00C04EFC"/>
    <w:rsid w:val="00C053B0"/>
    <w:rsid w:val="00C06624"/>
    <w:rsid w:val="00C10789"/>
    <w:rsid w:val="00C1083F"/>
    <w:rsid w:val="00C1206C"/>
    <w:rsid w:val="00C13E49"/>
    <w:rsid w:val="00C146B2"/>
    <w:rsid w:val="00C155D7"/>
    <w:rsid w:val="00C15724"/>
    <w:rsid w:val="00C22D1C"/>
    <w:rsid w:val="00C23F14"/>
    <w:rsid w:val="00C24C75"/>
    <w:rsid w:val="00C302E0"/>
    <w:rsid w:val="00C3292A"/>
    <w:rsid w:val="00C410A2"/>
    <w:rsid w:val="00C44084"/>
    <w:rsid w:val="00C46E6C"/>
    <w:rsid w:val="00C525CC"/>
    <w:rsid w:val="00C63D44"/>
    <w:rsid w:val="00C71BEE"/>
    <w:rsid w:val="00C73A59"/>
    <w:rsid w:val="00C80AC5"/>
    <w:rsid w:val="00C8147C"/>
    <w:rsid w:val="00C81922"/>
    <w:rsid w:val="00C85696"/>
    <w:rsid w:val="00C87A7A"/>
    <w:rsid w:val="00C923D9"/>
    <w:rsid w:val="00C92BF8"/>
    <w:rsid w:val="00C9559F"/>
    <w:rsid w:val="00CA11DC"/>
    <w:rsid w:val="00CA1C4A"/>
    <w:rsid w:val="00CA57CB"/>
    <w:rsid w:val="00CB1177"/>
    <w:rsid w:val="00CB3027"/>
    <w:rsid w:val="00CB33A4"/>
    <w:rsid w:val="00CC196E"/>
    <w:rsid w:val="00CC21DF"/>
    <w:rsid w:val="00CC2C1D"/>
    <w:rsid w:val="00CC3446"/>
    <w:rsid w:val="00CC6DF8"/>
    <w:rsid w:val="00CD73DE"/>
    <w:rsid w:val="00CE10D3"/>
    <w:rsid w:val="00CE6BEE"/>
    <w:rsid w:val="00CF4451"/>
    <w:rsid w:val="00CF5985"/>
    <w:rsid w:val="00CF5C20"/>
    <w:rsid w:val="00D003AA"/>
    <w:rsid w:val="00D00C86"/>
    <w:rsid w:val="00D0253A"/>
    <w:rsid w:val="00D04B31"/>
    <w:rsid w:val="00D1664C"/>
    <w:rsid w:val="00D2211A"/>
    <w:rsid w:val="00D23D35"/>
    <w:rsid w:val="00D24948"/>
    <w:rsid w:val="00D27F55"/>
    <w:rsid w:val="00D33570"/>
    <w:rsid w:val="00D418D7"/>
    <w:rsid w:val="00D44A57"/>
    <w:rsid w:val="00D45297"/>
    <w:rsid w:val="00D45B2B"/>
    <w:rsid w:val="00D528AA"/>
    <w:rsid w:val="00D56797"/>
    <w:rsid w:val="00D63C73"/>
    <w:rsid w:val="00D64A25"/>
    <w:rsid w:val="00D73EC3"/>
    <w:rsid w:val="00D75F24"/>
    <w:rsid w:val="00D77E91"/>
    <w:rsid w:val="00D81522"/>
    <w:rsid w:val="00D85674"/>
    <w:rsid w:val="00D91F67"/>
    <w:rsid w:val="00D93D9E"/>
    <w:rsid w:val="00DA021F"/>
    <w:rsid w:val="00DA1946"/>
    <w:rsid w:val="00DA211E"/>
    <w:rsid w:val="00DA3B63"/>
    <w:rsid w:val="00DA4909"/>
    <w:rsid w:val="00DA5275"/>
    <w:rsid w:val="00DA67EE"/>
    <w:rsid w:val="00DB10CB"/>
    <w:rsid w:val="00DB26CA"/>
    <w:rsid w:val="00DB68B6"/>
    <w:rsid w:val="00DC0D7E"/>
    <w:rsid w:val="00DC0DD9"/>
    <w:rsid w:val="00DC3EF6"/>
    <w:rsid w:val="00DC6F95"/>
    <w:rsid w:val="00DC7E7A"/>
    <w:rsid w:val="00DD1486"/>
    <w:rsid w:val="00DD42B6"/>
    <w:rsid w:val="00DD621A"/>
    <w:rsid w:val="00DD760C"/>
    <w:rsid w:val="00DE17BD"/>
    <w:rsid w:val="00DE2268"/>
    <w:rsid w:val="00DF0CF6"/>
    <w:rsid w:val="00DF20B4"/>
    <w:rsid w:val="00E00649"/>
    <w:rsid w:val="00E00972"/>
    <w:rsid w:val="00E058A2"/>
    <w:rsid w:val="00E11701"/>
    <w:rsid w:val="00E14983"/>
    <w:rsid w:val="00E17B7C"/>
    <w:rsid w:val="00E17BAA"/>
    <w:rsid w:val="00E20FDB"/>
    <w:rsid w:val="00E22E54"/>
    <w:rsid w:val="00E2515A"/>
    <w:rsid w:val="00E42AA6"/>
    <w:rsid w:val="00E42C6C"/>
    <w:rsid w:val="00E43EEA"/>
    <w:rsid w:val="00E45645"/>
    <w:rsid w:val="00E478A4"/>
    <w:rsid w:val="00E60B8D"/>
    <w:rsid w:val="00E616B5"/>
    <w:rsid w:val="00E639CD"/>
    <w:rsid w:val="00E65C9F"/>
    <w:rsid w:val="00E67719"/>
    <w:rsid w:val="00E71619"/>
    <w:rsid w:val="00E76AB2"/>
    <w:rsid w:val="00E80D3E"/>
    <w:rsid w:val="00E86085"/>
    <w:rsid w:val="00E92956"/>
    <w:rsid w:val="00E954B4"/>
    <w:rsid w:val="00E9553F"/>
    <w:rsid w:val="00E97896"/>
    <w:rsid w:val="00EA1243"/>
    <w:rsid w:val="00EA2559"/>
    <w:rsid w:val="00EA31F1"/>
    <w:rsid w:val="00EA356A"/>
    <w:rsid w:val="00EA6E5D"/>
    <w:rsid w:val="00EA78B7"/>
    <w:rsid w:val="00EB036E"/>
    <w:rsid w:val="00EB0EA0"/>
    <w:rsid w:val="00EB1842"/>
    <w:rsid w:val="00EB2F86"/>
    <w:rsid w:val="00EB4303"/>
    <w:rsid w:val="00EC190D"/>
    <w:rsid w:val="00EC1BD9"/>
    <w:rsid w:val="00EC29D7"/>
    <w:rsid w:val="00ED67B5"/>
    <w:rsid w:val="00EF32DE"/>
    <w:rsid w:val="00EF6562"/>
    <w:rsid w:val="00F018D2"/>
    <w:rsid w:val="00F01BF5"/>
    <w:rsid w:val="00F02008"/>
    <w:rsid w:val="00F11638"/>
    <w:rsid w:val="00F11683"/>
    <w:rsid w:val="00F16DAD"/>
    <w:rsid w:val="00F2208F"/>
    <w:rsid w:val="00F232A5"/>
    <w:rsid w:val="00F31DE6"/>
    <w:rsid w:val="00F31F10"/>
    <w:rsid w:val="00F324DF"/>
    <w:rsid w:val="00F33CAB"/>
    <w:rsid w:val="00F4537A"/>
    <w:rsid w:val="00F45CCF"/>
    <w:rsid w:val="00F466D1"/>
    <w:rsid w:val="00F5679B"/>
    <w:rsid w:val="00F56FC3"/>
    <w:rsid w:val="00F573F9"/>
    <w:rsid w:val="00F63713"/>
    <w:rsid w:val="00F6445C"/>
    <w:rsid w:val="00F66A88"/>
    <w:rsid w:val="00F7004E"/>
    <w:rsid w:val="00F70BB4"/>
    <w:rsid w:val="00F73C1B"/>
    <w:rsid w:val="00F84553"/>
    <w:rsid w:val="00F90401"/>
    <w:rsid w:val="00F94084"/>
    <w:rsid w:val="00F94EDF"/>
    <w:rsid w:val="00F97120"/>
    <w:rsid w:val="00F97B16"/>
    <w:rsid w:val="00FA2299"/>
    <w:rsid w:val="00FA3EE6"/>
    <w:rsid w:val="00FA54FC"/>
    <w:rsid w:val="00FA7EFA"/>
    <w:rsid w:val="00FB0D2C"/>
    <w:rsid w:val="00FB1F69"/>
    <w:rsid w:val="00FB35D6"/>
    <w:rsid w:val="00FB4FC0"/>
    <w:rsid w:val="00FB77E7"/>
    <w:rsid w:val="00FC1B65"/>
    <w:rsid w:val="00FD0012"/>
    <w:rsid w:val="00FD131B"/>
    <w:rsid w:val="00FD3F9E"/>
    <w:rsid w:val="00FD5CAB"/>
    <w:rsid w:val="00FD5DF8"/>
    <w:rsid w:val="00FE118B"/>
    <w:rsid w:val="00FE3BDE"/>
    <w:rsid w:val="00FE693C"/>
    <w:rsid w:val="00FF4299"/>
    <w:rsid w:val="00FF4BEE"/>
    <w:rsid w:val="00FF75E8"/>
    <w:rsid w:val="030C9567"/>
    <w:rsid w:val="039960EC"/>
    <w:rsid w:val="0462A3A1"/>
    <w:rsid w:val="047ECE1D"/>
    <w:rsid w:val="04BE3566"/>
    <w:rsid w:val="058F0F47"/>
    <w:rsid w:val="05CB20B6"/>
    <w:rsid w:val="065DCFA3"/>
    <w:rsid w:val="066CA6BC"/>
    <w:rsid w:val="06E8036D"/>
    <w:rsid w:val="0804A982"/>
    <w:rsid w:val="08269CC3"/>
    <w:rsid w:val="0907EBAB"/>
    <w:rsid w:val="09263670"/>
    <w:rsid w:val="09A2820C"/>
    <w:rsid w:val="09F3E3E3"/>
    <w:rsid w:val="0A8C4F50"/>
    <w:rsid w:val="0A92439D"/>
    <w:rsid w:val="0C3BF628"/>
    <w:rsid w:val="0C9B2692"/>
    <w:rsid w:val="0CD81AA5"/>
    <w:rsid w:val="0CF79AFB"/>
    <w:rsid w:val="0D4900E9"/>
    <w:rsid w:val="0D4A1324"/>
    <w:rsid w:val="0D546419"/>
    <w:rsid w:val="0D96CB52"/>
    <w:rsid w:val="0DB1514B"/>
    <w:rsid w:val="0EDF911B"/>
    <w:rsid w:val="0F5FC073"/>
    <w:rsid w:val="0F6C628A"/>
    <w:rsid w:val="0FA12B8D"/>
    <w:rsid w:val="100078CE"/>
    <w:rsid w:val="1015AFB4"/>
    <w:rsid w:val="108F5DDF"/>
    <w:rsid w:val="10C771FA"/>
    <w:rsid w:val="10C90AFC"/>
    <w:rsid w:val="11BD779C"/>
    <w:rsid w:val="11C2399F"/>
    <w:rsid w:val="14060CD6"/>
    <w:rsid w:val="14333196"/>
    <w:rsid w:val="14E8F7C1"/>
    <w:rsid w:val="1652A179"/>
    <w:rsid w:val="16ECFFDC"/>
    <w:rsid w:val="1763C7FF"/>
    <w:rsid w:val="1772FC22"/>
    <w:rsid w:val="17B3C1AB"/>
    <w:rsid w:val="17B85576"/>
    <w:rsid w:val="183A233A"/>
    <w:rsid w:val="18671F74"/>
    <w:rsid w:val="19AEDEE3"/>
    <w:rsid w:val="1A9571BB"/>
    <w:rsid w:val="1AE21686"/>
    <w:rsid w:val="1B457C4F"/>
    <w:rsid w:val="1B4F8E25"/>
    <w:rsid w:val="1BE4FD9F"/>
    <w:rsid w:val="1C3BBE5D"/>
    <w:rsid w:val="1CDEC924"/>
    <w:rsid w:val="1CE3CBCB"/>
    <w:rsid w:val="1CF21DD8"/>
    <w:rsid w:val="1CFEF7F9"/>
    <w:rsid w:val="1E373E77"/>
    <w:rsid w:val="1F6783E9"/>
    <w:rsid w:val="1FA4BB76"/>
    <w:rsid w:val="2197C172"/>
    <w:rsid w:val="22367122"/>
    <w:rsid w:val="22C54F19"/>
    <w:rsid w:val="23726538"/>
    <w:rsid w:val="24006BE5"/>
    <w:rsid w:val="24A900CD"/>
    <w:rsid w:val="25234DE6"/>
    <w:rsid w:val="253A9DCD"/>
    <w:rsid w:val="267A56D4"/>
    <w:rsid w:val="269AD270"/>
    <w:rsid w:val="271C074A"/>
    <w:rsid w:val="273AA905"/>
    <w:rsid w:val="277E7104"/>
    <w:rsid w:val="27FD0DC0"/>
    <w:rsid w:val="29B77883"/>
    <w:rsid w:val="2A0006A5"/>
    <w:rsid w:val="2A11CD96"/>
    <w:rsid w:val="2A171CA9"/>
    <w:rsid w:val="2A39F271"/>
    <w:rsid w:val="2AA1714A"/>
    <w:rsid w:val="2B2407F9"/>
    <w:rsid w:val="2B56BE01"/>
    <w:rsid w:val="2BAD9DF7"/>
    <w:rsid w:val="2C739836"/>
    <w:rsid w:val="2CE8B4BE"/>
    <w:rsid w:val="2D0D756E"/>
    <w:rsid w:val="2D188041"/>
    <w:rsid w:val="2D3FCDE2"/>
    <w:rsid w:val="2E0DD5E9"/>
    <w:rsid w:val="2EA34711"/>
    <w:rsid w:val="2ED7462A"/>
    <w:rsid w:val="2F0B4137"/>
    <w:rsid w:val="2FC06305"/>
    <w:rsid w:val="3080412B"/>
    <w:rsid w:val="31141B1B"/>
    <w:rsid w:val="3123A30D"/>
    <w:rsid w:val="321B95C6"/>
    <w:rsid w:val="339EF93C"/>
    <w:rsid w:val="34F3C6A3"/>
    <w:rsid w:val="35682F1F"/>
    <w:rsid w:val="35A8931B"/>
    <w:rsid w:val="367156DF"/>
    <w:rsid w:val="3840CEFA"/>
    <w:rsid w:val="3945A80D"/>
    <w:rsid w:val="39D3C11C"/>
    <w:rsid w:val="3ABAFE81"/>
    <w:rsid w:val="3BC4BAB4"/>
    <w:rsid w:val="3C41BC78"/>
    <w:rsid w:val="3CD8E39F"/>
    <w:rsid w:val="3CF45923"/>
    <w:rsid w:val="3DEF16EB"/>
    <w:rsid w:val="3DF29B7B"/>
    <w:rsid w:val="3F155104"/>
    <w:rsid w:val="401A2ABA"/>
    <w:rsid w:val="4075E34B"/>
    <w:rsid w:val="41500BEA"/>
    <w:rsid w:val="41B2F8C7"/>
    <w:rsid w:val="421DBB69"/>
    <w:rsid w:val="430FEB28"/>
    <w:rsid w:val="432EBE56"/>
    <w:rsid w:val="4447DD92"/>
    <w:rsid w:val="449CD7CC"/>
    <w:rsid w:val="44AE4968"/>
    <w:rsid w:val="44EB88FD"/>
    <w:rsid w:val="451C6318"/>
    <w:rsid w:val="458CF161"/>
    <w:rsid w:val="47548E7F"/>
    <w:rsid w:val="4775575E"/>
    <w:rsid w:val="4798DE9C"/>
    <w:rsid w:val="48305058"/>
    <w:rsid w:val="484978B5"/>
    <w:rsid w:val="4B400BC3"/>
    <w:rsid w:val="4C222D80"/>
    <w:rsid w:val="4CCA2741"/>
    <w:rsid w:val="4D47897A"/>
    <w:rsid w:val="4DA84314"/>
    <w:rsid w:val="4ED34032"/>
    <w:rsid w:val="4EF13FD1"/>
    <w:rsid w:val="4F16982A"/>
    <w:rsid w:val="4FE36EA7"/>
    <w:rsid w:val="504A7B94"/>
    <w:rsid w:val="504CE256"/>
    <w:rsid w:val="5058B4AE"/>
    <w:rsid w:val="50A96FFE"/>
    <w:rsid w:val="50C51DF3"/>
    <w:rsid w:val="51E16063"/>
    <w:rsid w:val="524235F5"/>
    <w:rsid w:val="52898C4D"/>
    <w:rsid w:val="53296DF1"/>
    <w:rsid w:val="5345D666"/>
    <w:rsid w:val="5376AA39"/>
    <w:rsid w:val="54EBEB49"/>
    <w:rsid w:val="55C95E1A"/>
    <w:rsid w:val="5655E8EC"/>
    <w:rsid w:val="56BE4E69"/>
    <w:rsid w:val="57452A66"/>
    <w:rsid w:val="58CFADE2"/>
    <w:rsid w:val="58E96DB7"/>
    <w:rsid w:val="58ECAC93"/>
    <w:rsid w:val="58F8CBFB"/>
    <w:rsid w:val="596ED9C4"/>
    <w:rsid w:val="59700519"/>
    <w:rsid w:val="5983627B"/>
    <w:rsid w:val="5A035765"/>
    <w:rsid w:val="5A367373"/>
    <w:rsid w:val="5B032C36"/>
    <w:rsid w:val="5B88A956"/>
    <w:rsid w:val="5BA82FDA"/>
    <w:rsid w:val="5D235ACF"/>
    <w:rsid w:val="5DAD7D28"/>
    <w:rsid w:val="5DBDD31E"/>
    <w:rsid w:val="5E6BF35F"/>
    <w:rsid w:val="5EAC4009"/>
    <w:rsid w:val="5EB1A3B8"/>
    <w:rsid w:val="5F5FE1A8"/>
    <w:rsid w:val="5FC6AD9B"/>
    <w:rsid w:val="60836687"/>
    <w:rsid w:val="6249226C"/>
    <w:rsid w:val="62FA0C9E"/>
    <w:rsid w:val="6402010E"/>
    <w:rsid w:val="643595E8"/>
    <w:rsid w:val="645D3C6B"/>
    <w:rsid w:val="647CE9BC"/>
    <w:rsid w:val="64E34FA2"/>
    <w:rsid w:val="6570ACAF"/>
    <w:rsid w:val="65F9B9EB"/>
    <w:rsid w:val="66522186"/>
    <w:rsid w:val="66820EE8"/>
    <w:rsid w:val="66868B41"/>
    <w:rsid w:val="66EFEA5F"/>
    <w:rsid w:val="6739A1D0"/>
    <w:rsid w:val="68A05804"/>
    <w:rsid w:val="6940681D"/>
    <w:rsid w:val="697A2371"/>
    <w:rsid w:val="69A9D496"/>
    <w:rsid w:val="6A27A848"/>
    <w:rsid w:val="6AA610F4"/>
    <w:rsid w:val="6ACA88A0"/>
    <w:rsid w:val="6B0E745B"/>
    <w:rsid w:val="6B709766"/>
    <w:rsid w:val="6BADB1EB"/>
    <w:rsid w:val="6C9EB06C"/>
    <w:rsid w:val="6E14987E"/>
    <w:rsid w:val="6EFD8F88"/>
    <w:rsid w:val="6F285992"/>
    <w:rsid w:val="6FBA57A1"/>
    <w:rsid w:val="70C429F3"/>
    <w:rsid w:val="70D6DADC"/>
    <w:rsid w:val="70FAE1A9"/>
    <w:rsid w:val="7124B947"/>
    <w:rsid w:val="716134C2"/>
    <w:rsid w:val="71C56429"/>
    <w:rsid w:val="71F23425"/>
    <w:rsid w:val="7221190A"/>
    <w:rsid w:val="7238D39A"/>
    <w:rsid w:val="727C5477"/>
    <w:rsid w:val="732C4F6B"/>
    <w:rsid w:val="7333A396"/>
    <w:rsid w:val="7333ED7A"/>
    <w:rsid w:val="73B73837"/>
    <w:rsid w:val="73E14D25"/>
    <w:rsid w:val="7496830E"/>
    <w:rsid w:val="74AEF76F"/>
    <w:rsid w:val="75428AE2"/>
    <w:rsid w:val="757D1D86"/>
    <w:rsid w:val="75C067BA"/>
    <w:rsid w:val="76E8A657"/>
    <w:rsid w:val="7722A0DA"/>
    <w:rsid w:val="777FE39A"/>
    <w:rsid w:val="78502708"/>
    <w:rsid w:val="78669991"/>
    <w:rsid w:val="789D2136"/>
    <w:rsid w:val="796FCCF5"/>
    <w:rsid w:val="79A72A12"/>
    <w:rsid w:val="79B17475"/>
    <w:rsid w:val="79FA469A"/>
    <w:rsid w:val="7AA9CAF7"/>
    <w:rsid w:val="7ACCF4C3"/>
    <w:rsid w:val="7AFB0305"/>
    <w:rsid w:val="7BB74157"/>
    <w:rsid w:val="7BF4EC29"/>
    <w:rsid w:val="7C7C7E9E"/>
    <w:rsid w:val="7CB6D78E"/>
    <w:rsid w:val="7D65F62B"/>
    <w:rsid w:val="7E32E2BA"/>
    <w:rsid w:val="7E484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495D53"/>
  <w15:docId w15:val="{920E3351-ABE2-4590-A201-D242AAFC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762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42C6C"/>
    <w:pPr>
      <w:spacing w:before="200" w:after="200" w:line="276" w:lineRule="auto"/>
      <w:ind w:left="170" w:right="170"/>
      <w:jc w:val="center"/>
      <w:outlineLvl w:val="0"/>
    </w:pPr>
    <w:rPr>
      <w:rFonts w:asciiTheme="minorHAnsi" w:eastAsiaTheme="minorHAnsi" w:hAnsiTheme="minorHAnsi" w:cstheme="minorBidi"/>
      <w:b/>
      <w:bCs/>
      <w:caps/>
      <w:color w:val="000000"/>
      <w:lang w:eastAsia="en-US"/>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57432E"/>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Odstavec_muj,Nad,Odstavec cíl se seznamem,Odstavec se seznamem5"/>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E42C6C"/>
    <w:rPr>
      <w:b/>
      <w:bCs/>
      <w:caps/>
      <w:color w:val="000000"/>
      <w:sz w:val="24"/>
      <w:szCs w:val="24"/>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4A1556"/>
    <w:pPr>
      <w:jc w:val="both"/>
    </w:pPr>
    <w:rPr>
      <w:lang w:val="pl-PL" w:eastAsia="en-US"/>
    </w:rPr>
  </w:style>
  <w:style w:type="character" w:customStyle="1" w:styleId="Zkladntext2Char">
    <w:name w:val="Základní text 2 Char"/>
    <w:basedOn w:val="Standardnpsmoodstavce"/>
    <w:link w:val="Zkladntext2"/>
    <w:rsid w:val="004A1556"/>
    <w:rPr>
      <w:rFonts w:ascii="Times New Roman" w:eastAsia="Times New Roman" w:hAnsi="Times New Roman" w:cs="Times New Roman"/>
      <w:sz w:val="24"/>
      <w:szCs w:val="24"/>
      <w:lang w:val="pl-PL"/>
    </w:rPr>
  </w:style>
  <w:style w:type="paragraph" w:customStyle="1" w:styleId="Zkladnodstavec">
    <w:name w:val="[Základní odstavec]"/>
    <w:basedOn w:val="Normln"/>
    <w:uiPriority w:val="99"/>
    <w:rsid w:val="00C0286A"/>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styleId="Seznamsodrkami">
    <w:name w:val="List Bullet"/>
    <w:basedOn w:val="Normln"/>
    <w:rsid w:val="00176D90"/>
    <w:pPr>
      <w:numPr>
        <w:numId w:val="25"/>
      </w:numPr>
    </w:pPr>
  </w:style>
  <w:style w:type="paragraph" w:customStyle="1" w:styleId="text">
    <w:name w:val="*text"/>
    <w:basedOn w:val="Normln"/>
    <w:link w:val="textChar"/>
    <w:qFormat/>
    <w:rsid w:val="00A06D8D"/>
    <w:pPr>
      <w:spacing w:after="160" w:line="259" w:lineRule="auto"/>
      <w:jc w:val="both"/>
    </w:pPr>
    <w:rPr>
      <w:rFonts w:asciiTheme="minorHAnsi" w:eastAsiaTheme="minorHAnsi" w:hAnsiTheme="minorHAnsi" w:cstheme="minorBidi"/>
      <w:sz w:val="22"/>
      <w:szCs w:val="22"/>
      <w:lang w:eastAsia="en-US"/>
    </w:rPr>
  </w:style>
  <w:style w:type="character" w:customStyle="1" w:styleId="textChar">
    <w:name w:val="*text Char"/>
    <w:basedOn w:val="Standardnpsmoodstavce"/>
    <w:link w:val="text"/>
    <w:rsid w:val="00A06D8D"/>
  </w:style>
  <w:style w:type="paragraph" w:styleId="Revize">
    <w:name w:val="Revision"/>
    <w:hidden/>
    <w:uiPriority w:val="99"/>
    <w:semiHidden/>
    <w:rsid w:val="005C3E7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
    <w:link w:val="Odstavecseseznamem"/>
    <w:uiPriority w:val="34"/>
    <w:locked/>
    <w:rsid w:val="00D73EC3"/>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424C7B"/>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424C7B"/>
    <w:pPr>
      <w:spacing w:after="100"/>
    </w:pPr>
  </w:style>
  <w:style w:type="character" w:styleId="Zdraznnintenzivn">
    <w:name w:val="Intense Emphasis"/>
    <w:basedOn w:val="Standardnpsmoodstavce"/>
    <w:uiPriority w:val="21"/>
    <w:qFormat/>
    <w:rsid w:val="0057432E"/>
    <w:rPr>
      <w:i/>
      <w:iCs/>
      <w:color w:val="4F81BD" w:themeColor="accent1"/>
    </w:rPr>
  </w:style>
  <w:style w:type="paragraph" w:styleId="Vrazncitt">
    <w:name w:val="Intense Quote"/>
    <w:basedOn w:val="Normln"/>
    <w:next w:val="Normln"/>
    <w:link w:val="VrazncittChar"/>
    <w:uiPriority w:val="30"/>
    <w:qFormat/>
    <w:rsid w:val="005743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7432E"/>
    <w:rPr>
      <w:rFonts w:ascii="Times New Roman" w:eastAsia="Times New Roman" w:hAnsi="Times New Roman" w:cs="Times New Roman"/>
      <w:i/>
      <w:iCs/>
      <w:color w:val="4F81BD" w:themeColor="accent1"/>
      <w:sz w:val="24"/>
      <w:szCs w:val="24"/>
      <w:lang w:eastAsia="cs-CZ"/>
    </w:rPr>
  </w:style>
  <w:style w:type="character" w:customStyle="1" w:styleId="Nadpis3Char">
    <w:name w:val="Nadpis 3 Char"/>
    <w:basedOn w:val="Standardnpsmoodstavce"/>
    <w:link w:val="Nadpis3"/>
    <w:uiPriority w:val="9"/>
    <w:rsid w:val="0057432E"/>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17292810">
      <w:bodyDiv w:val="1"/>
      <w:marLeft w:val="0"/>
      <w:marRight w:val="0"/>
      <w:marTop w:val="0"/>
      <w:marBottom w:val="0"/>
      <w:divBdr>
        <w:top w:val="none" w:sz="0" w:space="0" w:color="auto"/>
        <w:left w:val="none" w:sz="0" w:space="0" w:color="auto"/>
        <w:bottom w:val="none" w:sz="0" w:space="0" w:color="auto"/>
        <w:right w:val="none" w:sz="0" w:space="0" w:color="auto"/>
      </w:divBdr>
    </w:div>
    <w:div w:id="437063518">
      <w:bodyDiv w:val="1"/>
      <w:marLeft w:val="0"/>
      <w:marRight w:val="0"/>
      <w:marTop w:val="0"/>
      <w:marBottom w:val="0"/>
      <w:divBdr>
        <w:top w:val="none" w:sz="0" w:space="0" w:color="auto"/>
        <w:left w:val="none" w:sz="0" w:space="0" w:color="auto"/>
        <w:bottom w:val="none" w:sz="0" w:space="0" w:color="auto"/>
        <w:right w:val="none" w:sz="0" w:space="0" w:color="auto"/>
      </w:divBdr>
    </w:div>
    <w:div w:id="672489663">
      <w:bodyDiv w:val="1"/>
      <w:marLeft w:val="0"/>
      <w:marRight w:val="0"/>
      <w:marTop w:val="0"/>
      <w:marBottom w:val="0"/>
      <w:divBdr>
        <w:top w:val="none" w:sz="0" w:space="0" w:color="auto"/>
        <w:left w:val="none" w:sz="0" w:space="0" w:color="auto"/>
        <w:bottom w:val="none" w:sz="0" w:space="0" w:color="auto"/>
        <w:right w:val="none" w:sz="0" w:space="0" w:color="auto"/>
      </w:divBdr>
    </w:div>
    <w:div w:id="71146438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62227390">
      <w:bodyDiv w:val="1"/>
      <w:marLeft w:val="0"/>
      <w:marRight w:val="0"/>
      <w:marTop w:val="0"/>
      <w:marBottom w:val="0"/>
      <w:divBdr>
        <w:top w:val="none" w:sz="0" w:space="0" w:color="auto"/>
        <w:left w:val="none" w:sz="0" w:space="0" w:color="auto"/>
        <w:bottom w:val="none" w:sz="0" w:space="0" w:color="auto"/>
        <w:right w:val="none" w:sz="0" w:space="0" w:color="auto"/>
      </w:divBdr>
    </w:div>
    <w:div w:id="1023093893">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38844211">
      <w:bodyDiv w:val="1"/>
      <w:marLeft w:val="0"/>
      <w:marRight w:val="0"/>
      <w:marTop w:val="0"/>
      <w:marBottom w:val="0"/>
      <w:divBdr>
        <w:top w:val="none" w:sz="0" w:space="0" w:color="auto"/>
        <w:left w:val="none" w:sz="0" w:space="0" w:color="auto"/>
        <w:bottom w:val="none" w:sz="0" w:space="0" w:color="auto"/>
        <w:right w:val="none" w:sz="0" w:space="0" w:color="auto"/>
      </w:divBdr>
    </w:div>
    <w:div w:id="1277180561">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96014522">
      <w:bodyDiv w:val="1"/>
      <w:marLeft w:val="0"/>
      <w:marRight w:val="0"/>
      <w:marTop w:val="0"/>
      <w:marBottom w:val="0"/>
      <w:divBdr>
        <w:top w:val="none" w:sz="0" w:space="0" w:color="auto"/>
        <w:left w:val="none" w:sz="0" w:space="0" w:color="auto"/>
        <w:bottom w:val="none" w:sz="0" w:space="0" w:color="auto"/>
        <w:right w:val="none" w:sz="0" w:space="0" w:color="auto"/>
      </w:divBdr>
      <w:divsChild>
        <w:div w:id="2087069471">
          <w:marLeft w:val="0"/>
          <w:marRight w:val="0"/>
          <w:marTop w:val="0"/>
          <w:marBottom w:val="0"/>
          <w:divBdr>
            <w:top w:val="none" w:sz="0" w:space="0" w:color="auto"/>
            <w:left w:val="none" w:sz="0" w:space="0" w:color="auto"/>
            <w:bottom w:val="none" w:sz="0" w:space="0" w:color="auto"/>
            <w:right w:val="none" w:sz="0" w:space="0" w:color="auto"/>
          </w:divBdr>
        </w:div>
      </w:divsChild>
    </w:div>
    <w:div w:id="1783383327">
      <w:bodyDiv w:val="1"/>
      <w:marLeft w:val="0"/>
      <w:marRight w:val="0"/>
      <w:marTop w:val="0"/>
      <w:marBottom w:val="0"/>
      <w:divBdr>
        <w:top w:val="none" w:sz="0" w:space="0" w:color="auto"/>
        <w:left w:val="none" w:sz="0" w:space="0" w:color="auto"/>
        <w:bottom w:val="none" w:sz="0" w:space="0" w:color="auto"/>
        <w:right w:val="none" w:sz="0" w:space="0" w:color="auto"/>
      </w:divBdr>
    </w:div>
    <w:div w:id="184342347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1" ma:contentTypeDescription="Create a new document." ma:contentTypeScope="" ma:versionID="914fc191f0fe3d43280ee7455cb131de">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83bb0161c6c5299d4d79bc56f6b333fd"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C6216-12FF-45BF-AB63-D4366A43A7CC}">
  <ds:schemaRefs>
    <ds:schemaRef ds:uri="840fe389-5872-4bf2-a830-3039eb929e1c"/>
    <ds:schemaRef ds:uri="http://purl.org/dc/terms/"/>
    <ds:schemaRef ds:uri="http://schemas.microsoft.com/office/infopath/2007/PartnerControls"/>
    <ds:schemaRef ds:uri="http://schemas.microsoft.com/office/2006/documentManagement/types"/>
    <ds:schemaRef ds:uri="http://schemas.microsoft.com/office/2006/metadata/properties"/>
    <ds:schemaRef ds:uri="7e8bfa88-bbaf-444c-955e-bd4b3d7f5fdf"/>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D9D1FF1-E83F-4A97-87AE-7A1465464902}">
  <ds:schemaRefs>
    <ds:schemaRef ds:uri="http://schemas.openxmlformats.org/officeDocument/2006/bibliography"/>
  </ds:schemaRefs>
</ds:datastoreItem>
</file>

<file path=customXml/itemProps3.xml><?xml version="1.0" encoding="utf-8"?>
<ds:datastoreItem xmlns:ds="http://schemas.openxmlformats.org/officeDocument/2006/customXml" ds:itemID="{2BC16857-E867-4737-99A1-D0F638CE2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35773-6BAE-4F66-AA63-30A0A5E87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23</Pages>
  <Words>6437</Words>
  <Characters>37982</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datairop@mmr.cz</dc:creator>
  <cp:keywords/>
  <cp:lastModifiedBy>Partlová Zuzana</cp:lastModifiedBy>
  <cp:revision>206</cp:revision>
  <dcterms:created xsi:type="dcterms:W3CDTF">2022-08-13T09:47:00Z</dcterms:created>
  <dcterms:modified xsi:type="dcterms:W3CDTF">2022-12-05T07:13:00Z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